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4857"/>
      </w:tblGrid>
      <w:tr w:rsidR="00FF1C8A" w:rsidRPr="00FF1C8A" w:rsidTr="00FF1C8A">
        <w:trPr>
          <w:cantSplit/>
          <w:tblCellSpacing w:w="15" w:type="dxa"/>
          <w:jc w:val="center"/>
        </w:trPr>
        <w:tc>
          <w:tcPr>
            <w:tcW w:w="0" w:type="auto"/>
            <w:vAlign w:val="center"/>
            <w:hideMark/>
          </w:tcPr>
          <w:p w:rsidR="00FF1C8A" w:rsidRPr="00FF1C8A" w:rsidRDefault="00FF1C8A" w:rsidP="00FF1C8A">
            <w:pPr>
              <w:jc w:val="left"/>
              <w:rPr>
                <w:rFonts w:ascii="Trebuchet MS" w:eastAsia="Times New Roman" w:hAnsi="Trebuchet MS" w:cs="Times New Roman"/>
                <w:b/>
                <w:caps/>
                <w:lang w:eastAsia="pt-BR"/>
              </w:rPr>
            </w:pPr>
            <w:r w:rsidRPr="00FF1C8A">
              <w:rPr>
                <w:rFonts w:ascii="Trebuchet MS" w:eastAsia="Times New Roman" w:hAnsi="Trebuchet MS" w:cs="Times New Roman"/>
                <w:b/>
                <w:caps/>
                <w:lang w:eastAsia="pt-BR"/>
              </w:rPr>
              <w:t xml:space="preserve">RESOLUÇÃO Nº 4.330, DE 26 DE MAIO DE </w:t>
            </w:r>
            <w:proofErr w:type="gramStart"/>
            <w:r w:rsidRPr="00FF1C8A">
              <w:rPr>
                <w:rFonts w:ascii="Trebuchet MS" w:eastAsia="Times New Roman" w:hAnsi="Trebuchet MS" w:cs="Times New Roman"/>
                <w:b/>
                <w:caps/>
                <w:lang w:eastAsia="pt-BR"/>
              </w:rPr>
              <w:t>2014</w:t>
            </w:r>
            <w:proofErr w:type="gramEnd"/>
          </w:p>
        </w:tc>
      </w:tr>
    </w:tbl>
    <w:p w:rsid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Altera a Resolução nº 4.123, de 23 de agosto de 2012, que disciplina a emissão de Letra Financeira por parte das instituições financeiras que especifica.</w:t>
      </w:r>
    </w:p>
    <w:p w:rsidR="00FF1C8A" w:rsidRP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xml:space="preserve">O Banco Central do Brasil, na forma do art. 9º da Lei nº 4.595, de 31 de dezembro de 1964, torna público que o Conselho Monetário Nacional, em sessão realizada em 23 de maio de 2014, com base nos </w:t>
      </w:r>
      <w:proofErr w:type="spellStart"/>
      <w:r w:rsidRPr="00FF1C8A">
        <w:rPr>
          <w:rFonts w:ascii="Trebuchet MS" w:eastAsia="Times New Roman" w:hAnsi="Trebuchet MS" w:cs="Times New Roman"/>
          <w:lang w:eastAsia="pt-BR"/>
        </w:rPr>
        <w:t>arts</w:t>
      </w:r>
      <w:proofErr w:type="spellEnd"/>
      <w:r w:rsidRPr="00FF1C8A">
        <w:rPr>
          <w:rFonts w:ascii="Trebuchet MS" w:eastAsia="Times New Roman" w:hAnsi="Trebuchet MS" w:cs="Times New Roman"/>
          <w:lang w:eastAsia="pt-BR"/>
        </w:rPr>
        <w:t xml:space="preserve">. 4º, incisos </w:t>
      </w:r>
      <w:proofErr w:type="gramStart"/>
      <w:r w:rsidRPr="00FF1C8A">
        <w:rPr>
          <w:rFonts w:ascii="Trebuchet MS" w:eastAsia="Times New Roman" w:hAnsi="Trebuchet MS" w:cs="Times New Roman"/>
          <w:lang w:eastAsia="pt-BR"/>
        </w:rPr>
        <w:t>VI</w:t>
      </w:r>
      <w:proofErr w:type="gramEnd"/>
      <w:r w:rsidRPr="00FF1C8A">
        <w:rPr>
          <w:rFonts w:ascii="Trebuchet MS" w:eastAsia="Times New Roman" w:hAnsi="Trebuchet MS" w:cs="Times New Roman"/>
          <w:lang w:eastAsia="pt-BR"/>
        </w:rPr>
        <w:t xml:space="preserve"> e VIII, da referida Lei, 40, §§ 1º e 2º, e 41 da Lei nº 12.249, de 11 de junho de 2010,</w:t>
      </w:r>
    </w:p>
    <w:p w:rsidR="00FF1C8A" w:rsidRP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b/>
          <w:lang w:eastAsia="pt-BR"/>
        </w:rPr>
      </w:pPr>
      <w:r w:rsidRPr="00FF1C8A">
        <w:rPr>
          <w:rFonts w:ascii="Trebuchet MS" w:eastAsia="Times New Roman" w:hAnsi="Trebuchet MS" w:cs="Times New Roman"/>
          <w:b/>
          <w:lang w:eastAsia="pt-BR"/>
        </w:rPr>
        <w:t xml:space="preserve">R E S O L V E </w:t>
      </w:r>
      <w:proofErr w:type="gramStart"/>
      <w:r w:rsidRPr="00FF1C8A">
        <w:rPr>
          <w:rFonts w:ascii="Trebuchet MS" w:eastAsia="Times New Roman" w:hAnsi="Trebuchet MS" w:cs="Times New Roman"/>
          <w:b/>
          <w:lang w:eastAsia="pt-BR"/>
        </w:rPr>
        <w:t>U :</w:t>
      </w:r>
      <w:proofErr w:type="gramEnd"/>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b/>
          <w:lang w:eastAsia="pt-BR"/>
        </w:rPr>
        <w:t>Art. 1º</w:t>
      </w:r>
      <w:r w:rsidRPr="00FF1C8A">
        <w:rPr>
          <w:rFonts w:ascii="Trebuchet MS" w:eastAsia="Times New Roman" w:hAnsi="Trebuchet MS" w:cs="Times New Roman"/>
          <w:lang w:eastAsia="pt-BR"/>
        </w:rPr>
        <w:t xml:space="preserve">  - Os </w:t>
      </w:r>
      <w:proofErr w:type="spellStart"/>
      <w:r w:rsidRPr="00FF1C8A">
        <w:rPr>
          <w:rFonts w:ascii="Trebuchet MS" w:eastAsia="Times New Roman" w:hAnsi="Trebuchet MS" w:cs="Times New Roman"/>
          <w:lang w:eastAsia="pt-BR"/>
        </w:rPr>
        <w:t>arts</w:t>
      </w:r>
      <w:proofErr w:type="spellEnd"/>
      <w:r w:rsidRPr="00FF1C8A">
        <w:rPr>
          <w:rFonts w:ascii="Trebuchet MS" w:eastAsia="Times New Roman" w:hAnsi="Trebuchet MS" w:cs="Times New Roman"/>
          <w:lang w:eastAsia="pt-BR"/>
        </w:rPr>
        <w:t>. 7º e 8º da Resolução nº 4.123, de 23 de agosto de 2012, passam a vigorar com a seguinte redação:</w:t>
      </w:r>
    </w:p>
    <w:p w:rsidR="00FF1C8A" w:rsidRP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“Art. 7º</w:t>
      </w:r>
      <w:proofErr w:type="gramStart"/>
      <w:r w:rsidRPr="00FF1C8A">
        <w:rPr>
          <w:rFonts w:ascii="Trebuchet MS" w:eastAsia="Times New Roman" w:hAnsi="Trebuchet MS" w:cs="Times New Roman"/>
          <w:lang w:eastAsia="pt-BR"/>
        </w:rPr>
        <w:t xml:space="preserve">  </w:t>
      </w:r>
      <w:proofErr w:type="gramEnd"/>
      <w:r w:rsidRPr="00FF1C8A">
        <w:rPr>
          <w:rFonts w:ascii="Trebuchet MS" w:eastAsia="Times New Roman" w:hAnsi="Trebuchet MS" w:cs="Times New Roman"/>
          <w:lang w:eastAsia="pt-BR"/>
        </w:rPr>
        <w:t>A LF pode ser adquirida pela instituição emissora, a qualquer tempo, desde que por meio de bolsas ou de mercado de balcão organizado, para permanência em tesouraria e venda posterior, no montante de até:</w:t>
      </w:r>
    </w:p>
    <w:p w:rsid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xml:space="preserve">I - 5% (cinco por cento) do saldo total de letras financeiras por ela emitidas sem cláusula de subordinação; </w:t>
      </w:r>
      <w:proofErr w:type="gramStart"/>
      <w:r w:rsidRPr="00FF1C8A">
        <w:rPr>
          <w:rFonts w:ascii="Trebuchet MS" w:eastAsia="Times New Roman" w:hAnsi="Trebuchet MS" w:cs="Times New Roman"/>
          <w:lang w:eastAsia="pt-BR"/>
        </w:rPr>
        <w:t>e</w:t>
      </w:r>
      <w:proofErr w:type="gramEnd"/>
    </w:p>
    <w:p w:rsidR="00FF1C8A" w:rsidRP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II - 3% (três por cento) do saldo total de letras financeiras por ela emitidas com cláusula de subordinação, utilizadas para fins de composição do Patrimônio de Referência.</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1º</w:t>
      </w:r>
      <w:proofErr w:type="gramStart"/>
      <w:r w:rsidRPr="00FF1C8A">
        <w:rPr>
          <w:rFonts w:ascii="Trebuchet MS" w:eastAsia="Times New Roman" w:hAnsi="Trebuchet MS" w:cs="Times New Roman"/>
          <w:lang w:eastAsia="pt-BR"/>
        </w:rPr>
        <w:t xml:space="preserve">  </w:t>
      </w:r>
      <w:proofErr w:type="gramEnd"/>
      <w:r w:rsidRPr="00FF1C8A">
        <w:rPr>
          <w:rFonts w:ascii="Trebuchet MS" w:eastAsia="Times New Roman" w:hAnsi="Trebuchet MS" w:cs="Times New Roman"/>
          <w:lang w:eastAsia="pt-BR"/>
        </w:rPr>
        <w:t>As letras financeiras adquiridas por instituições do mesmo conglomerado econômico da instituição emissora devem ser consideradas no cômputo dos limites de que trata o </w:t>
      </w:r>
      <w:r w:rsidRPr="00FF1C8A">
        <w:rPr>
          <w:rFonts w:ascii="Trebuchet MS" w:eastAsia="Times New Roman" w:hAnsi="Trebuchet MS" w:cs="Times New Roman"/>
          <w:b/>
          <w:bCs/>
          <w:lang w:eastAsia="pt-BR"/>
        </w:rPr>
        <w:t>caput</w:t>
      </w:r>
      <w:r w:rsidRPr="00FF1C8A">
        <w:rPr>
          <w:rFonts w:ascii="Trebuchet MS" w:eastAsia="Times New Roman" w:hAnsi="Trebuchet MS" w:cs="Times New Roman"/>
          <w:lang w:eastAsia="pt-BR"/>
        </w:rPr>
        <w:t>.</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2º</w:t>
      </w:r>
      <w:proofErr w:type="gramStart"/>
      <w:r w:rsidRPr="00FF1C8A">
        <w:rPr>
          <w:rFonts w:ascii="Trebuchet MS" w:eastAsia="Times New Roman" w:hAnsi="Trebuchet MS" w:cs="Times New Roman"/>
          <w:lang w:eastAsia="pt-BR"/>
        </w:rPr>
        <w:t xml:space="preserve">  </w:t>
      </w:r>
      <w:proofErr w:type="gramEnd"/>
      <w:r w:rsidRPr="00FF1C8A">
        <w:rPr>
          <w:rFonts w:ascii="Trebuchet MS" w:eastAsia="Times New Roman" w:hAnsi="Trebuchet MS" w:cs="Times New Roman"/>
          <w:lang w:eastAsia="pt-BR"/>
        </w:rPr>
        <w:t>A possibilidade de aquisição prevista no inciso II do </w:t>
      </w:r>
      <w:proofErr w:type="spellStart"/>
      <w:r w:rsidRPr="00FF1C8A">
        <w:rPr>
          <w:rFonts w:ascii="Trebuchet MS" w:eastAsia="Times New Roman" w:hAnsi="Trebuchet MS" w:cs="Times New Roman"/>
          <w:b/>
          <w:bCs/>
          <w:lang w:eastAsia="pt-BR"/>
        </w:rPr>
        <w:t>caput</w:t>
      </w:r>
      <w:r w:rsidRPr="00FF1C8A">
        <w:rPr>
          <w:rFonts w:ascii="Trebuchet MS" w:eastAsia="Times New Roman" w:hAnsi="Trebuchet MS" w:cs="Times New Roman"/>
          <w:lang w:eastAsia="pt-BR"/>
        </w:rPr>
        <w:t>condiciona-se</w:t>
      </w:r>
      <w:proofErr w:type="spellEnd"/>
      <w:r w:rsidRPr="00FF1C8A">
        <w:rPr>
          <w:rFonts w:ascii="Trebuchet MS" w:eastAsia="Times New Roman" w:hAnsi="Trebuchet MS" w:cs="Times New Roman"/>
          <w:lang w:eastAsia="pt-BR"/>
        </w:rPr>
        <w:t xml:space="preserve"> à manifestação formal da instituição emissora por essa opção quando da solicitação de autorização de que trata o art. 8º, § 1º.</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3º</w:t>
      </w:r>
      <w:proofErr w:type="gramStart"/>
      <w:r w:rsidRPr="00FF1C8A">
        <w:rPr>
          <w:rFonts w:ascii="Trebuchet MS" w:eastAsia="Times New Roman" w:hAnsi="Trebuchet MS" w:cs="Times New Roman"/>
          <w:lang w:eastAsia="pt-BR"/>
        </w:rPr>
        <w:t xml:space="preserve">  </w:t>
      </w:r>
      <w:proofErr w:type="gramEnd"/>
      <w:r w:rsidRPr="00FF1C8A">
        <w:rPr>
          <w:rFonts w:ascii="Trebuchet MS" w:eastAsia="Times New Roman" w:hAnsi="Trebuchet MS" w:cs="Times New Roman"/>
          <w:lang w:eastAsia="pt-BR"/>
        </w:rPr>
        <w:t>O percentual indicado no inciso II do </w:t>
      </w:r>
      <w:r w:rsidRPr="00FF1C8A">
        <w:rPr>
          <w:rFonts w:ascii="Trebuchet MS" w:eastAsia="Times New Roman" w:hAnsi="Trebuchet MS" w:cs="Times New Roman"/>
          <w:b/>
          <w:bCs/>
          <w:lang w:eastAsia="pt-BR"/>
        </w:rPr>
        <w:t>caput</w:t>
      </w:r>
      <w:r w:rsidRPr="00FF1C8A">
        <w:rPr>
          <w:rFonts w:ascii="Trebuchet MS" w:eastAsia="Times New Roman" w:hAnsi="Trebuchet MS" w:cs="Times New Roman"/>
          <w:lang w:eastAsia="pt-BR"/>
        </w:rPr>
        <w:t> deve ser apurado com base no saldo total de letras financeiras em que tenha sido manifestada a opção a que se refere o § 2º.</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xml:space="preserve">§ 4º  A aquisição de letras financeiras utilizadas para fins de composição do Patrimônio de Referência, na forma e no </w:t>
      </w:r>
      <w:proofErr w:type="gramStart"/>
      <w:r w:rsidRPr="00FF1C8A">
        <w:rPr>
          <w:rFonts w:ascii="Trebuchet MS" w:eastAsia="Times New Roman" w:hAnsi="Trebuchet MS" w:cs="Times New Roman"/>
          <w:lang w:eastAsia="pt-BR"/>
        </w:rPr>
        <w:t>limite estabelecidos no </w:t>
      </w:r>
      <w:r w:rsidRPr="00FF1C8A">
        <w:rPr>
          <w:rFonts w:ascii="Trebuchet MS" w:eastAsia="Times New Roman" w:hAnsi="Trebuchet MS" w:cs="Times New Roman"/>
          <w:b/>
          <w:bCs/>
          <w:lang w:eastAsia="pt-BR"/>
        </w:rPr>
        <w:t>caput</w:t>
      </w:r>
      <w:proofErr w:type="gramEnd"/>
      <w:r w:rsidRPr="00FF1C8A">
        <w:rPr>
          <w:rFonts w:ascii="Trebuchet MS" w:eastAsia="Times New Roman" w:hAnsi="Trebuchet MS" w:cs="Times New Roman"/>
          <w:b/>
          <w:bCs/>
          <w:lang w:eastAsia="pt-BR"/>
        </w:rPr>
        <w:t>,</w:t>
      </w:r>
      <w:r w:rsidRPr="00FF1C8A">
        <w:rPr>
          <w:rFonts w:ascii="Trebuchet MS" w:eastAsia="Times New Roman" w:hAnsi="Trebuchet MS" w:cs="Times New Roman"/>
          <w:lang w:eastAsia="pt-BR"/>
        </w:rPr>
        <w:t> está dispensada da observância dos seguintes dispositivos da Resolução nº 4.192, de 1º de março de 2013:</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xml:space="preserve">I - autorização do Banco Central do Brasil, prevista nos </w:t>
      </w:r>
      <w:proofErr w:type="spellStart"/>
      <w:r w:rsidRPr="00FF1C8A">
        <w:rPr>
          <w:rFonts w:ascii="Trebuchet MS" w:eastAsia="Times New Roman" w:hAnsi="Trebuchet MS" w:cs="Times New Roman"/>
          <w:lang w:eastAsia="pt-BR"/>
        </w:rPr>
        <w:t>arts</w:t>
      </w:r>
      <w:proofErr w:type="spellEnd"/>
      <w:r w:rsidRPr="00FF1C8A">
        <w:rPr>
          <w:rFonts w:ascii="Trebuchet MS" w:eastAsia="Times New Roman" w:hAnsi="Trebuchet MS" w:cs="Times New Roman"/>
          <w:lang w:eastAsia="pt-BR"/>
        </w:rPr>
        <w:t xml:space="preserve">. 17, inciso IX, 18, inciso II, 20, inciso V, e 21, inciso II; </w:t>
      </w:r>
      <w:proofErr w:type="gramStart"/>
      <w:r w:rsidRPr="00FF1C8A">
        <w:rPr>
          <w:rFonts w:ascii="Trebuchet MS" w:eastAsia="Times New Roman" w:hAnsi="Trebuchet MS" w:cs="Times New Roman"/>
          <w:lang w:eastAsia="pt-BR"/>
        </w:rPr>
        <w:t>e</w:t>
      </w:r>
      <w:proofErr w:type="gramEnd"/>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xml:space="preserve">II - atendimento do prazo mínimo de cinco anos, previsto nos </w:t>
      </w:r>
      <w:proofErr w:type="spellStart"/>
      <w:r w:rsidRPr="00FF1C8A">
        <w:rPr>
          <w:rFonts w:ascii="Trebuchet MS" w:eastAsia="Times New Roman" w:hAnsi="Trebuchet MS" w:cs="Times New Roman"/>
          <w:lang w:eastAsia="pt-BR"/>
        </w:rPr>
        <w:t>arts</w:t>
      </w:r>
      <w:proofErr w:type="spellEnd"/>
      <w:r w:rsidRPr="00FF1C8A">
        <w:rPr>
          <w:rFonts w:ascii="Trebuchet MS" w:eastAsia="Times New Roman" w:hAnsi="Trebuchet MS" w:cs="Times New Roman"/>
          <w:lang w:eastAsia="pt-BR"/>
        </w:rPr>
        <w:t xml:space="preserve">. </w:t>
      </w:r>
      <w:proofErr w:type="gramStart"/>
      <w:r w:rsidRPr="00FF1C8A">
        <w:rPr>
          <w:rFonts w:ascii="Trebuchet MS" w:eastAsia="Times New Roman" w:hAnsi="Trebuchet MS" w:cs="Times New Roman"/>
          <w:lang w:eastAsia="pt-BR"/>
        </w:rPr>
        <w:t>18, inciso I, e 21, inciso I.”</w:t>
      </w:r>
      <w:proofErr w:type="gramEnd"/>
      <w:r w:rsidRPr="00FF1C8A">
        <w:rPr>
          <w:rFonts w:ascii="Trebuchet MS" w:eastAsia="Times New Roman" w:hAnsi="Trebuchet MS" w:cs="Times New Roman"/>
          <w:lang w:eastAsia="pt-BR"/>
        </w:rPr>
        <w:t xml:space="preserve"> (NR)</w:t>
      </w:r>
    </w:p>
    <w:p w:rsidR="00FF1C8A" w:rsidRP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“Art. 8º</w:t>
      </w:r>
      <w:proofErr w:type="gramStart"/>
      <w:r w:rsidRPr="00FF1C8A">
        <w:rPr>
          <w:rFonts w:ascii="Trebuchet MS" w:eastAsia="Times New Roman" w:hAnsi="Trebuchet MS" w:cs="Times New Roman"/>
          <w:lang w:eastAsia="pt-BR"/>
        </w:rPr>
        <w:t xml:space="preserve">  </w:t>
      </w:r>
      <w:proofErr w:type="gramEnd"/>
      <w:r w:rsidRPr="00FF1C8A">
        <w:rPr>
          <w:rFonts w:ascii="Trebuchet MS" w:eastAsia="Times New Roman" w:hAnsi="Trebuchet MS" w:cs="Times New Roman"/>
          <w:lang w:eastAsia="pt-BR"/>
        </w:rPr>
        <w:t>Exclusivamente para fins de composição do Patrimônio de Referência, admite-se que a LF com cláusula de subordinação seja emitida, prevendo:</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I - suspensão do pagamento da remuneração estipulada;</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II - extinção permanente do direito de crédito por ela representado ou, alternativamente, conversão desse direito em ações elegíveis ao Capital Principal da instituição emitente;</w:t>
      </w:r>
    </w:p>
    <w:p w:rsid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xml:space="preserve">III - vencimento condicionado somente à ocorrência da dissolução da instituição emitente ou do inadimplemento da obrigação de pagar a remuneração estipulada, caso em que ambas as condições deverão constar do título; </w:t>
      </w:r>
      <w:proofErr w:type="gramStart"/>
      <w:r w:rsidRPr="00FF1C8A">
        <w:rPr>
          <w:rFonts w:ascii="Trebuchet MS" w:eastAsia="Times New Roman" w:hAnsi="Trebuchet MS" w:cs="Times New Roman"/>
          <w:lang w:eastAsia="pt-BR"/>
        </w:rPr>
        <w:t>e</w:t>
      </w:r>
      <w:proofErr w:type="gramEnd"/>
    </w:p>
    <w:p w:rsidR="00FF1C8A" w:rsidRP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IV - correção pela variação cambial.</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lastRenderedPageBreak/>
        <w:t>§ 1º</w:t>
      </w:r>
      <w:proofErr w:type="gramStart"/>
      <w:r w:rsidRPr="00FF1C8A">
        <w:rPr>
          <w:rFonts w:ascii="Trebuchet MS" w:eastAsia="Times New Roman" w:hAnsi="Trebuchet MS" w:cs="Times New Roman"/>
          <w:lang w:eastAsia="pt-BR"/>
        </w:rPr>
        <w:t xml:space="preserve">  </w:t>
      </w:r>
      <w:proofErr w:type="gramEnd"/>
      <w:r w:rsidRPr="00FF1C8A">
        <w:rPr>
          <w:rFonts w:ascii="Trebuchet MS" w:eastAsia="Times New Roman" w:hAnsi="Trebuchet MS" w:cs="Times New Roman"/>
          <w:lang w:eastAsia="pt-BR"/>
        </w:rPr>
        <w:t>A instituição emissora da LF mencionada no </w:t>
      </w:r>
      <w:r w:rsidRPr="00FF1C8A">
        <w:rPr>
          <w:rFonts w:ascii="Trebuchet MS" w:eastAsia="Times New Roman" w:hAnsi="Trebuchet MS" w:cs="Times New Roman"/>
          <w:b/>
          <w:bCs/>
          <w:lang w:eastAsia="pt-BR"/>
        </w:rPr>
        <w:t>caput</w:t>
      </w:r>
      <w:r w:rsidRPr="00FF1C8A">
        <w:rPr>
          <w:rFonts w:ascii="Trebuchet MS" w:eastAsia="Times New Roman" w:hAnsi="Trebuchet MS" w:cs="Times New Roman"/>
          <w:lang w:eastAsia="pt-BR"/>
        </w:rPr>
        <w:t> deve protocolizar solicitação no Banco Central do Brasil para que os recursos captados sejam autorizados a compor seu Patrimônio de Referência.</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2º  A eficácia das cláusulas mencionadas nos incisos I e II do </w:t>
      </w:r>
      <w:proofErr w:type="spellStart"/>
      <w:r w:rsidRPr="00FF1C8A">
        <w:rPr>
          <w:rFonts w:ascii="Trebuchet MS" w:eastAsia="Times New Roman" w:hAnsi="Trebuchet MS" w:cs="Times New Roman"/>
          <w:b/>
          <w:bCs/>
          <w:lang w:eastAsia="pt-BR"/>
        </w:rPr>
        <w:t>caput</w:t>
      </w:r>
      <w:r w:rsidRPr="00FF1C8A">
        <w:rPr>
          <w:rFonts w:ascii="Trebuchet MS" w:eastAsia="Times New Roman" w:hAnsi="Trebuchet MS" w:cs="Times New Roman"/>
          <w:lang w:eastAsia="pt-BR"/>
        </w:rPr>
        <w:t>deve</w:t>
      </w:r>
      <w:proofErr w:type="spellEnd"/>
      <w:r w:rsidRPr="00FF1C8A">
        <w:rPr>
          <w:rFonts w:ascii="Trebuchet MS" w:eastAsia="Times New Roman" w:hAnsi="Trebuchet MS" w:cs="Times New Roman"/>
          <w:lang w:eastAsia="pt-BR"/>
        </w:rPr>
        <w:t xml:space="preserve"> estar condicionada ao deferimento, pelo Banco Central do Brasil, da solicitação referida no § 1º, condição esta que deverá constar do título.</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3º</w:t>
      </w:r>
      <w:proofErr w:type="gramStart"/>
      <w:r w:rsidRPr="00FF1C8A">
        <w:rPr>
          <w:rFonts w:ascii="Trebuchet MS" w:eastAsia="Times New Roman" w:hAnsi="Trebuchet MS" w:cs="Times New Roman"/>
          <w:lang w:eastAsia="pt-BR"/>
        </w:rPr>
        <w:t xml:space="preserve">  </w:t>
      </w:r>
      <w:proofErr w:type="gramEnd"/>
      <w:r w:rsidRPr="00FF1C8A">
        <w:rPr>
          <w:rFonts w:ascii="Trebuchet MS" w:eastAsia="Times New Roman" w:hAnsi="Trebuchet MS" w:cs="Times New Roman"/>
          <w:lang w:eastAsia="pt-BR"/>
        </w:rPr>
        <w:t>A LF de que trata o </w:t>
      </w:r>
      <w:r w:rsidRPr="00FF1C8A">
        <w:rPr>
          <w:rFonts w:ascii="Trebuchet MS" w:eastAsia="Times New Roman" w:hAnsi="Trebuchet MS" w:cs="Times New Roman"/>
          <w:b/>
          <w:bCs/>
          <w:lang w:eastAsia="pt-BR"/>
        </w:rPr>
        <w:t>caput</w:t>
      </w:r>
      <w:r w:rsidRPr="00FF1C8A">
        <w:rPr>
          <w:rFonts w:ascii="Trebuchet MS" w:eastAsia="Times New Roman" w:hAnsi="Trebuchet MS" w:cs="Times New Roman"/>
          <w:lang w:eastAsia="pt-BR"/>
        </w:rPr>
        <w:t> deve atender a todos os critérios estabelecidos na regulamentação em vigor para composição do Capital Complementar ou do Nível II do Patrimônio de Referência, ressalvado o disposto no art. 7º, § 4º, desta Resolução.</w:t>
      </w: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 4º  O pagamento dos titulares de LF emitidas com as características estabelecidas na regulamentação em vigor para composição do Nível II do Patrimônio de Referência deve preferir ao pagamento dos titulares de LF emitidas com as características do Capital Complementar do Patrimônio de Referência, na hipótese de liquidação ou falência da instituição emissora.” (NR</w:t>
      </w:r>
      <w:proofErr w:type="gramStart"/>
      <w:r w:rsidRPr="00FF1C8A">
        <w:rPr>
          <w:rFonts w:ascii="Trebuchet MS" w:eastAsia="Times New Roman" w:hAnsi="Trebuchet MS" w:cs="Times New Roman"/>
          <w:lang w:eastAsia="pt-BR"/>
        </w:rPr>
        <w:t>)</w:t>
      </w:r>
      <w:proofErr w:type="gramEnd"/>
    </w:p>
    <w:p w:rsidR="00FF1C8A" w:rsidRPr="00FF1C8A" w:rsidRDefault="00FF1C8A" w:rsidP="00FF1C8A">
      <w:pPr>
        <w:jc w:val="both"/>
        <w:rPr>
          <w:rFonts w:ascii="Trebuchet MS" w:eastAsia="Times New Roman" w:hAnsi="Trebuchet MS" w:cs="Times New Roman"/>
          <w:lang w:eastAsia="pt-BR"/>
        </w:rPr>
      </w:pPr>
    </w:p>
    <w:p w:rsidR="00FF1C8A" w:rsidRPr="00FF1C8A" w:rsidRDefault="00FF1C8A" w:rsidP="00FF1C8A">
      <w:pPr>
        <w:jc w:val="both"/>
        <w:rPr>
          <w:rFonts w:ascii="Trebuchet MS" w:eastAsia="Times New Roman" w:hAnsi="Trebuchet MS" w:cs="Times New Roman"/>
          <w:lang w:eastAsia="pt-BR"/>
        </w:rPr>
      </w:pPr>
      <w:r w:rsidRPr="00FF1C8A">
        <w:rPr>
          <w:rFonts w:ascii="Trebuchet MS" w:eastAsia="Times New Roman" w:hAnsi="Trebuchet MS" w:cs="Times New Roman"/>
          <w:lang w:eastAsia="pt-BR"/>
        </w:rPr>
        <w:t>Art. 2º  Esta Resolução entra em vigor na data de sua publicação.</w:t>
      </w:r>
    </w:p>
    <w:p w:rsidR="00FF1C8A" w:rsidRPr="00FF1C8A" w:rsidRDefault="00FF1C8A" w:rsidP="00FF1C8A">
      <w:pPr>
        <w:rPr>
          <w:rFonts w:ascii="Trebuchet MS" w:eastAsia="Times New Roman" w:hAnsi="Trebuchet MS" w:cs="Times New Roman"/>
          <w:lang w:eastAsia="pt-BR"/>
        </w:rPr>
      </w:pPr>
      <w:r w:rsidRPr="00FF1C8A">
        <w:rPr>
          <w:rFonts w:ascii="Trebuchet MS" w:eastAsia="Times New Roman" w:hAnsi="Trebuchet MS" w:cs="Times New Roman"/>
          <w:lang w:eastAsia="pt-BR"/>
        </w:rPr>
        <w:br/>
      </w:r>
      <w:r w:rsidRPr="00FF1C8A">
        <w:rPr>
          <w:rFonts w:ascii="Trebuchet MS" w:eastAsia="Times New Roman" w:hAnsi="Trebuchet MS" w:cs="Times New Roman"/>
          <w:lang w:eastAsia="pt-BR"/>
        </w:rPr>
        <w:br/>
        <w:t xml:space="preserve">                        Alexandre Antonio </w:t>
      </w:r>
      <w:proofErr w:type="spellStart"/>
      <w:r w:rsidRPr="00FF1C8A">
        <w:rPr>
          <w:rFonts w:ascii="Trebuchet MS" w:eastAsia="Times New Roman" w:hAnsi="Trebuchet MS" w:cs="Times New Roman"/>
          <w:lang w:eastAsia="pt-BR"/>
        </w:rPr>
        <w:t>Tombini</w:t>
      </w:r>
      <w:proofErr w:type="spellEnd"/>
      <w:r w:rsidRPr="00FF1C8A">
        <w:rPr>
          <w:rFonts w:ascii="Trebuchet MS" w:eastAsia="Times New Roman" w:hAnsi="Trebuchet MS" w:cs="Times New Roman"/>
          <w:lang w:eastAsia="pt-BR"/>
        </w:rPr>
        <w:br/>
        <w:t>                  Presidente do Banco Central do Brasil</w:t>
      </w:r>
    </w:p>
    <w:p w:rsidR="0098421F" w:rsidRDefault="0098421F"/>
    <w:sectPr w:rsidR="0098421F" w:rsidSect="00D00291">
      <w:pgSz w:w="11907" w:h="16840" w:code="9"/>
      <w:pgMar w:top="1417" w:right="1701" w:bottom="1417" w:left="1701" w:header="709" w:footer="709"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FF1C8A"/>
    <w:rsid w:val="0007301E"/>
    <w:rsid w:val="00911CB7"/>
    <w:rsid w:val="0098421F"/>
    <w:rsid w:val="009D4DF6"/>
    <w:rsid w:val="00B53462"/>
    <w:rsid w:val="00D00291"/>
    <w:rsid w:val="00FF1C8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1C8A"/>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F1C8A"/>
  </w:style>
  <w:style w:type="character" w:styleId="Forte">
    <w:name w:val="Strong"/>
    <w:basedOn w:val="Fontepargpadro"/>
    <w:uiPriority w:val="22"/>
    <w:qFormat/>
    <w:rsid w:val="00FF1C8A"/>
    <w:rPr>
      <w:b/>
      <w:bCs/>
    </w:rPr>
  </w:style>
</w:styles>
</file>

<file path=word/webSettings.xml><?xml version="1.0" encoding="utf-8"?>
<w:webSettings xmlns:r="http://schemas.openxmlformats.org/officeDocument/2006/relationships" xmlns:w="http://schemas.openxmlformats.org/wordprocessingml/2006/main">
  <w:divs>
    <w:div w:id="1791819861">
      <w:bodyDiv w:val="1"/>
      <w:marLeft w:val="0"/>
      <w:marRight w:val="0"/>
      <w:marTop w:val="0"/>
      <w:marBottom w:val="0"/>
      <w:divBdr>
        <w:top w:val="none" w:sz="0" w:space="0" w:color="auto"/>
        <w:left w:val="none" w:sz="0" w:space="0" w:color="auto"/>
        <w:bottom w:val="none" w:sz="0" w:space="0" w:color="auto"/>
        <w:right w:val="none" w:sz="0" w:space="0" w:color="auto"/>
      </w:divBdr>
      <w:divsChild>
        <w:div w:id="1284075656">
          <w:marLeft w:val="0"/>
          <w:marRight w:val="0"/>
          <w:marTop w:val="0"/>
          <w:marBottom w:val="0"/>
          <w:divBdr>
            <w:top w:val="single" w:sz="2" w:space="0" w:color="auto"/>
            <w:left w:val="single" w:sz="2" w:space="3" w:color="auto"/>
            <w:bottom w:val="single" w:sz="4" w:space="0" w:color="auto"/>
            <w:right w:val="single" w:sz="2" w:space="3" w:color="auto"/>
          </w:divBdr>
        </w:div>
        <w:div w:id="115792125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3403</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eloisa</dc:creator>
  <cp:lastModifiedBy>eloisa</cp:lastModifiedBy>
  <cp:revision>1</cp:revision>
  <dcterms:created xsi:type="dcterms:W3CDTF">2014-05-27T13:05:00Z</dcterms:created>
  <dcterms:modified xsi:type="dcterms:W3CDTF">2014-05-27T13:09:00Z</dcterms:modified>
</cp:coreProperties>
</file>