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double" w:sz="2" w:space="0" w:color="auto"/>
          <w:bottom w:val="double" w:sz="2" w:space="0" w:color="auto"/>
        </w:tblBorders>
        <w:tblLayout w:type="fixed"/>
        <w:tblCellMar>
          <w:left w:w="10" w:type="dxa"/>
          <w:right w:w="10" w:type="dxa"/>
        </w:tblCellMar>
        <w:tblLook w:val="0000"/>
      </w:tblPr>
      <w:tblGrid>
        <w:gridCol w:w="9360"/>
      </w:tblGrid>
      <w:tr w:rsidR="009633AE" w:rsidRPr="009633AE" w:rsidTr="009633AE">
        <w:tblPrEx>
          <w:tblCellMar>
            <w:top w:w="0" w:type="dxa"/>
            <w:bottom w:w="0" w:type="dxa"/>
          </w:tblCellMar>
        </w:tblPrEx>
        <w:trPr>
          <w:jc w:val="center"/>
        </w:trPr>
        <w:tc>
          <w:tcPr>
            <w:tcW w:w="9360" w:type="dxa"/>
            <w:tcBorders>
              <w:top w:val="nil"/>
              <w:left w:val="nil"/>
              <w:bottom w:val="nil"/>
              <w:right w:val="nil"/>
            </w:tcBorders>
            <w:vAlign w:val="center"/>
          </w:tcPr>
          <w:p w:rsidR="009633AE" w:rsidRDefault="009633AE" w:rsidP="009633AE">
            <w:pPr>
              <w:autoSpaceDE w:val="0"/>
              <w:autoSpaceDN w:val="0"/>
              <w:adjustRightInd w:val="0"/>
              <w:spacing w:before="100" w:after="100" w:line="240" w:lineRule="auto"/>
              <w:jc w:val="center"/>
              <w:rPr>
                <w:rFonts w:ascii="Trebuchet MS" w:hAnsi="Trebuchet MS" w:cs="Times New Roman"/>
                <w:b/>
                <w:sz w:val="24"/>
                <w:szCs w:val="24"/>
              </w:rPr>
            </w:pPr>
            <w:r w:rsidRPr="009633AE">
              <w:rPr>
                <w:rFonts w:ascii="Trebuchet MS" w:hAnsi="Trebuchet MS" w:cs="Times New Roman"/>
                <w:b/>
                <w:sz w:val="24"/>
                <w:szCs w:val="24"/>
              </w:rPr>
              <w:t xml:space="preserve">CIRCULAR Nº 3.654, DE 27 DE MARÇO DE </w:t>
            </w:r>
            <w:proofErr w:type="gramStart"/>
            <w:r w:rsidRPr="009633AE">
              <w:rPr>
                <w:rFonts w:ascii="Trebuchet MS" w:hAnsi="Trebuchet MS" w:cs="Times New Roman"/>
                <w:b/>
                <w:sz w:val="24"/>
                <w:szCs w:val="24"/>
              </w:rPr>
              <w:t>2013</w:t>
            </w:r>
            <w:proofErr w:type="gramEnd"/>
          </w:p>
          <w:p w:rsidR="009633AE" w:rsidRPr="009633AE" w:rsidRDefault="009633AE" w:rsidP="009633AE">
            <w:pPr>
              <w:autoSpaceDE w:val="0"/>
              <w:autoSpaceDN w:val="0"/>
              <w:adjustRightInd w:val="0"/>
              <w:spacing w:before="100" w:after="100" w:line="240" w:lineRule="auto"/>
              <w:jc w:val="center"/>
              <w:rPr>
                <w:rFonts w:ascii="Trebuchet MS" w:hAnsi="Trebuchet MS" w:cs="Times New Roman"/>
                <w:b/>
                <w:sz w:val="24"/>
                <w:szCs w:val="24"/>
              </w:rPr>
            </w:pPr>
          </w:p>
        </w:tc>
      </w:tr>
      <w:tr w:rsidR="009633AE" w:rsidRPr="009633AE" w:rsidTr="009633AE">
        <w:tblPrEx>
          <w:tblBorders>
            <w:top w:val="none" w:sz="0" w:space="0" w:color="auto"/>
            <w:bottom w:val="none" w:sz="0" w:space="0" w:color="auto"/>
          </w:tblBorders>
          <w:tblCellMar>
            <w:top w:w="0" w:type="dxa"/>
            <w:bottom w:w="0" w:type="dxa"/>
          </w:tblCellMar>
        </w:tblPrEx>
        <w:trPr>
          <w:jc w:val="center"/>
        </w:trPr>
        <w:tc>
          <w:tcPr>
            <w:tcW w:w="9360" w:type="dxa"/>
            <w:tcBorders>
              <w:top w:val="nil"/>
              <w:left w:val="nil"/>
              <w:bottom w:val="nil"/>
              <w:right w:val="nil"/>
            </w:tcBorders>
            <w:vAlign w:val="center"/>
          </w:tcPr>
          <w:p w:rsidR="009633AE" w:rsidRPr="009633AE" w:rsidRDefault="009633AE" w:rsidP="009633AE">
            <w:pPr>
              <w:autoSpaceDE w:val="0"/>
              <w:autoSpaceDN w:val="0"/>
              <w:adjustRightInd w:val="0"/>
              <w:spacing w:after="0" w:line="240" w:lineRule="auto"/>
              <w:rPr>
                <w:rFonts w:ascii="Trebuchet MS" w:hAnsi="Trebuchet MS" w:cs="Times New Roman"/>
                <w:b/>
              </w:rPr>
            </w:pPr>
            <w:r w:rsidRPr="009633AE">
              <w:rPr>
                <w:rFonts w:ascii="Trebuchet MS" w:hAnsi="Trebuchet MS" w:cs="Times New Roman"/>
                <w:b/>
              </w:rPr>
              <w:t xml:space="preserve">ALTERA A CIRCULAR NO 3.461, DE 24 DE JULHO DE 2009, QUE CONSOLIDA AS REGRAS SOBRE OS PROCEDIMENTOS A SEREM ADOTADOS NA PREVENÇÃO E COMBATE ÀS ATIVIDADES RELACIONADAS COM OS CRIMES PREVISTOS NA LEI Nº 9.613, DE </w:t>
            </w:r>
            <w:proofErr w:type="gramStart"/>
            <w:r w:rsidRPr="009633AE">
              <w:rPr>
                <w:rFonts w:ascii="Trebuchet MS" w:hAnsi="Trebuchet MS" w:cs="Times New Roman"/>
                <w:b/>
              </w:rPr>
              <w:t>3</w:t>
            </w:r>
            <w:proofErr w:type="gramEnd"/>
            <w:r w:rsidRPr="009633AE">
              <w:rPr>
                <w:rFonts w:ascii="Trebuchet MS" w:hAnsi="Trebuchet MS" w:cs="Times New Roman"/>
                <w:b/>
              </w:rPr>
              <w:t xml:space="preserve"> DE MARÇO DE 1998. </w:t>
            </w:r>
          </w:p>
          <w:p w:rsidR="009633AE" w:rsidRPr="009633AE" w:rsidRDefault="009633AE" w:rsidP="009633AE">
            <w:pPr>
              <w:autoSpaceDE w:val="0"/>
              <w:autoSpaceDN w:val="0"/>
              <w:adjustRightInd w:val="0"/>
              <w:spacing w:after="0" w:line="240" w:lineRule="auto"/>
              <w:rPr>
                <w:rFonts w:ascii="Trebuchet MS" w:hAnsi="Trebuchet MS" w:cs="Times New Roman"/>
                <w:b/>
              </w:rPr>
            </w:pPr>
          </w:p>
        </w:tc>
      </w:tr>
      <w:tr w:rsidR="009633AE" w:rsidTr="009633AE">
        <w:tblPrEx>
          <w:tblBorders>
            <w:top w:val="none" w:sz="0" w:space="0" w:color="auto"/>
            <w:bottom w:val="none" w:sz="0" w:space="0" w:color="auto"/>
          </w:tblBorders>
          <w:tblCellMar>
            <w:top w:w="0" w:type="dxa"/>
            <w:bottom w:w="0" w:type="dxa"/>
          </w:tblCellMar>
        </w:tblPrEx>
        <w:trPr>
          <w:jc w:val="center"/>
        </w:trPr>
        <w:tc>
          <w:tcPr>
            <w:tcW w:w="9360" w:type="dxa"/>
            <w:tcBorders>
              <w:top w:val="nil"/>
              <w:left w:val="nil"/>
              <w:bottom w:val="nil"/>
              <w:right w:val="nil"/>
            </w:tcBorders>
            <w:vAlign w:val="center"/>
          </w:tcPr>
          <w:p w:rsidR="009633AE" w:rsidRPr="009633AE" w:rsidRDefault="009633AE" w:rsidP="009633AE">
            <w:pPr>
              <w:autoSpaceDE w:val="0"/>
              <w:autoSpaceDN w:val="0"/>
              <w:adjustRightInd w:val="0"/>
              <w:spacing w:after="0" w:line="240" w:lineRule="auto"/>
              <w:jc w:val="both"/>
              <w:rPr>
                <w:rFonts w:ascii="Trebuchet MS" w:hAnsi="Trebuchet MS" w:cs="Times New Roman"/>
              </w:rPr>
            </w:pPr>
            <w:r w:rsidRPr="009633AE">
              <w:rPr>
                <w:rFonts w:ascii="Trebuchet MS" w:hAnsi="Trebuchet MS" w:cs="Times New Roman"/>
              </w:rPr>
              <w:t xml:space="preserve">A Diretoria Colegiada do Banco Central do Brasil, em sessão realizada em 20 de março de 2013, com base no disposto nos </w:t>
            </w:r>
            <w:proofErr w:type="spellStart"/>
            <w:r w:rsidRPr="009633AE">
              <w:rPr>
                <w:rFonts w:ascii="Trebuchet MS" w:hAnsi="Trebuchet MS" w:cs="Times New Roman"/>
              </w:rPr>
              <w:t>arts</w:t>
            </w:r>
            <w:proofErr w:type="spellEnd"/>
            <w:r w:rsidRPr="009633AE">
              <w:rPr>
                <w:rFonts w:ascii="Trebuchet MS" w:hAnsi="Trebuchet MS" w:cs="Times New Roman"/>
              </w:rPr>
              <w:t xml:space="preserve">. 10, inciso IX, e 11, inciso VII, da Lei nº 4.595, de 31 de dezembro de 1964, 10, 11 e 11-A da Lei nº 9.613, de </w:t>
            </w:r>
            <w:proofErr w:type="gramStart"/>
            <w:r w:rsidRPr="009633AE">
              <w:rPr>
                <w:rFonts w:ascii="Trebuchet MS" w:hAnsi="Trebuchet MS" w:cs="Times New Roman"/>
              </w:rPr>
              <w:t>3</w:t>
            </w:r>
            <w:proofErr w:type="gramEnd"/>
            <w:r w:rsidRPr="009633AE">
              <w:rPr>
                <w:rFonts w:ascii="Trebuchet MS" w:hAnsi="Trebuchet MS" w:cs="Times New Roman"/>
              </w:rPr>
              <w:t xml:space="preserve"> de março de 1998, tendo em vista o disposto na Convenção Contra o Tráfico Ilícito de Entorpecentes e Substâncias Psicotrópicas, promulgada pelo Decreto nº 154, de 26 de junho de 1991, na Convenção das Nações Unidas contra o Crime Organizado Transnacional, promulgada pelo Decreto nº 5.015, de 12 de março de 2004, na Convenção Internacional para Supressão do Financiamento do Terrorismo, promulgada pelo Decreto nº 5.640, de 26 de dezembro de 2005, na Convenção Interamericana contra o Terrorismo, promulgada pelo Decreto nº 5.639, de 26 de dezembro de 2005, e na Convenção das Nações Unidas contra a Corrupção, promulgada pelo Decreto nº 5.687, de 31 de janeiro de 2006,</w:t>
            </w:r>
          </w:p>
          <w:p w:rsidR="009633AE" w:rsidRPr="009633AE" w:rsidRDefault="009633AE" w:rsidP="009633AE">
            <w:pPr>
              <w:autoSpaceDE w:val="0"/>
              <w:autoSpaceDN w:val="0"/>
              <w:adjustRightInd w:val="0"/>
              <w:spacing w:after="0" w:line="240" w:lineRule="auto"/>
              <w:jc w:val="both"/>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R E S O L V </w:t>
            </w:r>
            <w:proofErr w:type="gramStart"/>
            <w:r w:rsidRPr="009633AE">
              <w:rPr>
                <w:rFonts w:ascii="Trebuchet MS" w:hAnsi="Trebuchet MS" w:cs="Times New Roman"/>
              </w:rPr>
              <w:t>E :</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Art. 1º - Os </w:t>
            </w:r>
            <w:proofErr w:type="spellStart"/>
            <w:r w:rsidRPr="009633AE">
              <w:rPr>
                <w:rFonts w:ascii="Trebuchet MS" w:hAnsi="Trebuchet MS" w:cs="Times New Roman"/>
              </w:rPr>
              <w:t>arts</w:t>
            </w:r>
            <w:proofErr w:type="spellEnd"/>
            <w:r w:rsidRPr="009633AE">
              <w:rPr>
                <w:rFonts w:ascii="Trebuchet MS" w:hAnsi="Trebuchet MS" w:cs="Times New Roman"/>
              </w:rPr>
              <w:t>. 1º, 2º, 4º, 9º, 10, 12, 13, 14 e 17 da Circular nº 3.461, de 24 de julho de 2009, passam a vigorar com a seguinte redação:</w:t>
            </w:r>
          </w:p>
          <w:p w:rsidR="009633AE" w:rsidRPr="009633AE" w:rsidRDefault="009633AE" w:rsidP="009633AE">
            <w:pPr>
              <w:autoSpaceDE w:val="0"/>
              <w:autoSpaceDN w:val="0"/>
              <w:adjustRightInd w:val="0"/>
              <w:spacing w:after="0" w:line="240" w:lineRule="auto"/>
              <w:rPr>
                <w:rFonts w:ascii="Trebuchet MS" w:hAnsi="Trebuchet MS" w:cs="Times New Roman"/>
                <w:b/>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b/>
              </w:rPr>
              <w:t>“Art. 1º</w:t>
            </w:r>
            <w:r w:rsidRPr="009633AE">
              <w:rPr>
                <w:rFonts w:ascii="Trebuchet MS" w:hAnsi="Trebuchet MS" w:cs="Times New Roman"/>
              </w:rPr>
              <w:t xml:space="preserve"> As instituições financeiras e demais instituições autorizadas a funcionar pelo Banco Central do Brasil devem </w:t>
            </w:r>
            <w:proofErr w:type="gramStart"/>
            <w:r w:rsidRPr="009633AE">
              <w:rPr>
                <w:rFonts w:ascii="Trebuchet MS" w:hAnsi="Trebuchet MS" w:cs="Times New Roman"/>
              </w:rPr>
              <w:t>implementar</w:t>
            </w:r>
            <w:proofErr w:type="gramEnd"/>
            <w:r w:rsidRPr="009633AE">
              <w:rPr>
                <w:rFonts w:ascii="Trebuchet MS" w:hAnsi="Trebuchet MS" w:cs="Times New Roman"/>
              </w:rPr>
              <w:t xml:space="preserve"> políticas, procedimentos e controles internos, de forma compatível com seu porte e volume de operações, destinados a prevenir sua utilização na prática dos crimes de que trata a Lei nº 9.613, de 3 de março de 1998.</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r w:rsidRPr="009633AE">
              <w:rPr>
                <w:rFonts w:ascii="Trebuchet MS" w:hAnsi="Trebuchet MS" w:cs="Times New Roman"/>
              </w:rPr>
              <w:t>” (NR)</w:t>
            </w:r>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w:t>
            </w:r>
            <w:r w:rsidRPr="009633AE">
              <w:rPr>
                <w:rFonts w:ascii="Trebuchet MS" w:hAnsi="Trebuchet MS" w:cs="Times New Roman"/>
                <w:b/>
              </w:rPr>
              <w:t xml:space="preserve">Art. </w:t>
            </w:r>
            <w:proofErr w:type="gramStart"/>
            <w:r w:rsidRPr="009633AE">
              <w:rPr>
                <w:rFonts w:ascii="Trebuchet MS" w:hAnsi="Trebuchet MS" w:cs="Times New Roman"/>
                <w:b/>
              </w:rPr>
              <w:t>2º</w:t>
            </w:r>
            <w:r w:rsidRPr="009633AE">
              <w:rPr>
                <w:rFonts w:ascii="Trebuchet MS" w:hAnsi="Trebuchet MS" w:cs="Times New Roman"/>
              </w:rPr>
              <w:t xml:space="preserve">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 - qualificação do cliente:</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a) pessoas naturais: nome completo, filiação, nacionalidade, data e local do nascimento, documento de identificação (tipo, número, data de emissão e órgão expedidor) e número de inscrição no Cadastro de Pessoas Físicas (CPF); </w:t>
            </w:r>
            <w:proofErr w:type="gramStart"/>
            <w:r w:rsidRPr="009633AE">
              <w:rPr>
                <w:rFonts w:ascii="Trebuchet MS" w:hAnsi="Trebuchet MS" w:cs="Times New Roman"/>
              </w:rPr>
              <w:t>e</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b) pessoas jurídicas: firma ou denominação social, atividade principal, forma e </w:t>
            </w:r>
            <w:proofErr w:type="gramStart"/>
            <w:r w:rsidRPr="009633AE">
              <w:rPr>
                <w:rFonts w:ascii="Trebuchet MS" w:hAnsi="Trebuchet MS" w:cs="Times New Roman"/>
              </w:rPr>
              <w:t>data</w:t>
            </w:r>
            <w:proofErr w:type="gramEnd"/>
            <w:r w:rsidRPr="009633AE">
              <w:rPr>
                <w:rFonts w:ascii="Trebuchet MS" w:hAnsi="Trebuchet MS" w:cs="Times New Roman"/>
              </w:rPr>
              <w:t xml:space="preserve"> de constituição, informações referidas na alínea “a” que qualifiquem e autorizem os administradores, mandatários ou prepostos, número de inscrição no Cadastro Nacional da Pessoa Jurídica (CNPJ) e dados dos atos constitutivos devidamente registrados na forma da lei;</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II - endereços residencial e comercial completos;</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III - número do telefone e código de Discagem Direta a Distância (DDD);</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IV - valores de renda mensal e patrimônio, no caso de pessoas naturais, e de faturamento médio mensal referente aos doze meses anteriores, no caso de pessoas jurídicas; </w:t>
            </w:r>
            <w:proofErr w:type="gramStart"/>
            <w:r w:rsidRPr="009633AE">
              <w:rPr>
                <w:rFonts w:ascii="Trebuchet MS" w:hAnsi="Trebuchet MS" w:cs="Times New Roman"/>
              </w:rPr>
              <w:t>e</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V - declaração firmada sobre os propósitos e a natureza da relação de negócio com a instituição.</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4º As informações cadastrais relativas </w:t>
            </w:r>
            <w:proofErr w:type="gramStart"/>
            <w:r w:rsidRPr="009633AE">
              <w:rPr>
                <w:rFonts w:ascii="Trebuchet MS" w:hAnsi="Trebuchet MS" w:cs="Times New Roman"/>
              </w:rPr>
              <w:t>a</w:t>
            </w:r>
            <w:proofErr w:type="gramEnd"/>
            <w:r w:rsidRPr="009633AE">
              <w:rPr>
                <w:rFonts w:ascii="Trebuchet MS" w:hAnsi="Trebuchet MS" w:cs="Times New Roman"/>
              </w:rPr>
              <w:t xml:space="preserve"> cliente fundo de investimento devem incluir a respectiva denominação, número de inscrição no CNPJ, bem como as informações de que tratam os incisos I a III relativas às pessoas responsáveis por sua administração.</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r w:rsidRPr="009633AE">
              <w:rPr>
                <w:rFonts w:ascii="Trebuchet MS" w:hAnsi="Trebuchet MS" w:cs="Times New Roman"/>
              </w:rPr>
              <w:t>” (NR)</w:t>
            </w:r>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b/>
                <w:bCs/>
              </w:rPr>
              <w:t>“Pessoas Expostas Politicamente (PEP)</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End"/>
            <w:r w:rsidRPr="009633AE">
              <w:rPr>
                <w:rFonts w:ascii="Trebuchet MS" w:hAnsi="Trebuchet MS" w:cs="Times New Roman"/>
                <w:b/>
              </w:rPr>
              <w:lastRenderedPageBreak/>
              <w:t>Art. 4º</w:t>
            </w:r>
            <w:r w:rsidRPr="009633AE">
              <w:rPr>
                <w:rFonts w:ascii="Trebuchet MS" w:hAnsi="Trebuchet MS" w:cs="Times New Roman"/>
              </w:rPr>
              <w:t xml:space="preserve"> As instituições de que trata o art. 1º devem obter de seus clientes permanentes informações que permitam caracterizá-los ou não como pessoas expostas politicamente (PEP) e identificar a origem dos fundos envolvidos nas transações dos clientes assim caracterizados.</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1º Consideram-se PEP os agentes públicos que desempenham ou tenham desempenhado, nos últimos cinco anos, no Brasil ou em países, territórios e dependências estrangeiros, cargos, empregos ou funções públicas relevantes, assim como seus representantes, familiares e outras pessoas de seu relacionamento próximo.</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2º No caso de clientes brasileiros, devem ser abrangidos:</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III - os membros do Conselho Nacional de Justiça, do Supremo Tribunal Federal, dos tribunais superiores, dos tribunais regionais federais, do trabalho e eleitorais, do Conselho Superior da Justiça do Trabalho e do Conselho da Justiça Federal;</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VI - os governadores de Estado e do Distrito Federal, os presidentes de tribunal de justiça, de assembleia e câmara legislativa, os presidentes de tribunal de contas de Estado, do Distrito Federal e de Município, e de conselho de contas dos Municípios;</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w:t>
            </w:r>
            <w:proofErr w:type="gramStart"/>
            <w:r w:rsidRPr="009633AE">
              <w:rPr>
                <w:rFonts w:ascii="Trebuchet MS" w:hAnsi="Trebuchet MS" w:cs="Times New Roman"/>
              </w:rPr>
              <w:t>3º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III - consultar bases de dados comerciais sobre PEP; </w:t>
            </w:r>
            <w:proofErr w:type="gramStart"/>
            <w:r w:rsidRPr="009633AE">
              <w:rPr>
                <w:rFonts w:ascii="Trebuchet MS" w:hAnsi="Trebuchet MS" w:cs="Times New Roman"/>
              </w:rPr>
              <w:t>e</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IV - considerar como PEP a pessoa que exerce ou exerceu funções públicas proeminentes em um país estrangeiro, tais como chefes de estado ou de governo, políticos de alto nível, altos servidores governamentais, judiciais, do </w:t>
            </w:r>
            <w:proofErr w:type="gramStart"/>
            <w:r w:rsidRPr="009633AE">
              <w:rPr>
                <w:rFonts w:ascii="Trebuchet MS" w:hAnsi="Trebuchet MS" w:cs="Times New Roman"/>
              </w:rPr>
              <w:t>legislativo ou militares, dirigentes de empresas públicas ou dirigentes de partidos políticos</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4º O prazo de cinco anos referido no § 1º deve ser contado, retroativamente, a partir da data de início da relação de negócio ou da data em que o cliente passou a se enquadrar como PEP.</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6º No caso de relação de negócio com cliente estrangeiro que também seja cliente de instituição estrangeira fiscalizada por entidade governamental assemelhada ao Banco Central do Brasil, admite-se que as providências em relação </w:t>
            </w:r>
            <w:proofErr w:type="gramStart"/>
            <w:r w:rsidRPr="009633AE">
              <w:rPr>
                <w:rFonts w:ascii="Trebuchet MS" w:hAnsi="Trebuchet MS" w:cs="Times New Roman"/>
              </w:rPr>
              <w:t>a</w:t>
            </w:r>
            <w:proofErr w:type="gramEnd"/>
            <w:r w:rsidRPr="009633AE">
              <w:rPr>
                <w:rFonts w:ascii="Trebuchet MS" w:hAnsi="Trebuchet MS" w:cs="Times New Roman"/>
              </w:rPr>
              <w:t xml:space="preserve"> PEP sejam adotadas pela instituição estrangeira, desde que assegurado ao Banco Central do Brasil o acesso aos respectivos dados e procedimentos adotados.</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7º As operações ou propostas de operações que possuam PEP como </w:t>
            </w:r>
            <w:proofErr w:type="gramStart"/>
            <w:r w:rsidRPr="009633AE">
              <w:rPr>
                <w:rFonts w:ascii="Trebuchet MS" w:hAnsi="Trebuchet MS" w:cs="Times New Roman"/>
              </w:rPr>
              <w:t>parte envolvida serão</w:t>
            </w:r>
            <w:proofErr w:type="gramEnd"/>
            <w:r w:rsidRPr="009633AE">
              <w:rPr>
                <w:rFonts w:ascii="Trebuchet MS" w:hAnsi="Trebuchet MS" w:cs="Times New Roman"/>
              </w:rPr>
              <w:t xml:space="preserve"> sempre consideradas como merecedoras de especial atenção, conforme previsto no art. 10.</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8º O disposto neste artigo também se aplica a pessoa que exerce ou exerceu função de alta administração em uma organização internacional de qualquer natureza, assim considerados diretores, subdiretores, membros de conselho ou funções equivalentes.</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r w:rsidRPr="009633AE">
              <w:rPr>
                <w:rFonts w:ascii="Trebuchet MS" w:hAnsi="Trebuchet MS" w:cs="Times New Roman"/>
              </w:rPr>
              <w:t>” (NR)</w:t>
            </w:r>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w:t>
            </w:r>
            <w:r w:rsidRPr="009633AE">
              <w:rPr>
                <w:rFonts w:ascii="Trebuchet MS" w:hAnsi="Trebuchet MS" w:cs="Times New Roman"/>
                <w:b/>
              </w:rPr>
              <w:t xml:space="preserve">Art. </w:t>
            </w:r>
            <w:proofErr w:type="gramStart"/>
            <w:r w:rsidRPr="009633AE">
              <w:rPr>
                <w:rFonts w:ascii="Trebuchet MS" w:hAnsi="Trebuchet MS" w:cs="Times New Roman"/>
                <w:b/>
              </w:rPr>
              <w:t>9º</w:t>
            </w:r>
            <w:r w:rsidRPr="009633AE">
              <w:rPr>
                <w:rFonts w:ascii="Trebuchet MS" w:hAnsi="Trebuchet MS" w:cs="Times New Roman"/>
              </w:rPr>
              <w:t xml:space="preserve">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3º As instituições financeiras devem requerer de seus clientes comunicação prévia, com, no mínimo, um dia útil de antecedência, de saque em espécie, de valor igual ou superior a R$100.000,00 (cem mil reais).</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4º O atendimento ao disposto no § 3º deve ser realizado sem prejuízo do previsto no art. 2º da Resolução nº 3.695, de 26 de março de 2009.” (NR</w:t>
            </w: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"Art. 10</w:t>
            </w:r>
            <w:proofErr w:type="gramStart"/>
            <w:r w:rsidRPr="009633AE">
              <w:rPr>
                <w:rFonts w:ascii="Trebuchet MS" w:hAnsi="Trebuchet MS" w:cs="Times New Roman"/>
              </w:rPr>
              <w:t>.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w:t>
            </w:r>
            <w:proofErr w:type="gramStart"/>
            <w:r w:rsidRPr="009633AE">
              <w:rPr>
                <w:rFonts w:ascii="Trebuchet MS" w:hAnsi="Trebuchet MS" w:cs="Times New Roman"/>
              </w:rPr>
              <w:t>1º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 - monitoramento contínuo reforçado, mediante a adoção de procedimentos mais rigorosos para a apuração de situações suspeitas;</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r w:rsidRPr="009633AE">
              <w:rPr>
                <w:rFonts w:ascii="Trebuchet MS" w:hAnsi="Trebuchet MS" w:cs="Times New Roman"/>
              </w:rPr>
              <w:t>” (NR)</w:t>
            </w:r>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b/>
              </w:rPr>
              <w:t>“Art. 12</w:t>
            </w:r>
            <w:proofErr w:type="gramStart"/>
            <w:r w:rsidRPr="009633AE">
              <w:rPr>
                <w:rFonts w:ascii="Trebuchet MS" w:hAnsi="Trebuchet MS" w:cs="Times New Roman"/>
              </w:rPr>
              <w:t>.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I - as ocorrências de que trata o art. 8º, § 1º, inciso I; </w:t>
            </w:r>
            <w:proofErr w:type="gramStart"/>
            <w:r w:rsidRPr="009633AE">
              <w:rPr>
                <w:rFonts w:ascii="Trebuchet MS" w:hAnsi="Trebuchet MS" w:cs="Times New Roman"/>
              </w:rPr>
              <w:t>e</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II - as ocorrências de que trata o art. 9º, § 1º, incisos I e III.</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1º Devem também ser comunicadas ao </w:t>
            </w:r>
            <w:proofErr w:type="spellStart"/>
            <w:r w:rsidRPr="009633AE">
              <w:rPr>
                <w:rFonts w:ascii="Trebuchet MS" w:hAnsi="Trebuchet MS" w:cs="Times New Roman"/>
              </w:rPr>
              <w:t>Coaf</w:t>
            </w:r>
            <w:proofErr w:type="spellEnd"/>
            <w:r w:rsidRPr="009633AE">
              <w:rPr>
                <w:rFonts w:ascii="Trebuchet MS" w:hAnsi="Trebuchet MS" w:cs="Times New Roman"/>
              </w:rPr>
              <w:t xml:space="preserve"> as propostas de realização das operações de que tratam os incisos I e II do </w:t>
            </w:r>
            <w:r w:rsidRPr="009633AE">
              <w:rPr>
                <w:rFonts w:ascii="Trebuchet MS" w:hAnsi="Trebuchet MS" w:cs="Times New Roman"/>
                <w:b/>
                <w:bCs/>
              </w:rPr>
              <w:t>caput</w:t>
            </w:r>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w:t>
            </w:r>
            <w:proofErr w:type="gramStart"/>
            <w:r w:rsidRPr="009633AE">
              <w:rPr>
                <w:rFonts w:ascii="Trebuchet MS" w:hAnsi="Trebuchet MS" w:cs="Times New Roman"/>
              </w:rPr>
              <w:t xml:space="preserve">2º As comunicações das ocorrências mencionadas no </w:t>
            </w:r>
            <w:r w:rsidRPr="009633AE">
              <w:rPr>
                <w:rFonts w:ascii="Trebuchet MS" w:hAnsi="Trebuchet MS" w:cs="Times New Roman"/>
                <w:b/>
                <w:bCs/>
              </w:rPr>
              <w:t>caput</w:t>
            </w:r>
            <w:r w:rsidRPr="009633AE">
              <w:rPr>
                <w:rFonts w:ascii="Trebuchet MS" w:hAnsi="Trebuchet MS" w:cs="Times New Roman"/>
              </w:rPr>
              <w:t xml:space="preserve"> devem ser realizadas até o dia útil seguinte àquele em que verificadas.”</w:t>
            </w:r>
            <w:proofErr w:type="gramEnd"/>
            <w:r w:rsidRPr="009633AE">
              <w:rPr>
                <w:rFonts w:ascii="Trebuchet MS" w:hAnsi="Trebuchet MS" w:cs="Times New Roman"/>
              </w:rPr>
              <w:t xml:space="preserve"> (NR)</w:t>
            </w:r>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b/>
              </w:rPr>
              <w:t>“Art. 13</w:t>
            </w:r>
            <w:proofErr w:type="gramStart"/>
            <w:r w:rsidRPr="009633AE">
              <w:rPr>
                <w:rFonts w:ascii="Trebuchet MS" w:hAnsi="Trebuchet MS" w:cs="Times New Roman"/>
              </w:rPr>
              <w:t>. ...</w:t>
            </w:r>
            <w:proofErr w:type="gramEnd"/>
            <w:r w:rsidRPr="009633AE">
              <w:rPr>
                <w:rFonts w:ascii="Trebuchet MS" w:hAnsi="Trebuchet MS" w:cs="Times New Roman"/>
              </w:rPr>
              <w:t>........................................</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 2º As comunicações das ocorrências de que tratam os incisos I a IV do </w:t>
            </w:r>
            <w:r w:rsidRPr="009633AE">
              <w:rPr>
                <w:rFonts w:ascii="Trebuchet MS" w:hAnsi="Trebuchet MS" w:cs="Times New Roman"/>
                <w:b/>
                <w:bCs/>
              </w:rPr>
              <w:t>caput</w:t>
            </w:r>
            <w:r w:rsidRPr="009633AE">
              <w:rPr>
                <w:rFonts w:ascii="Trebuchet MS" w:hAnsi="Trebuchet MS" w:cs="Times New Roman"/>
              </w:rPr>
              <w:t xml:space="preserve"> devem ser realizadas até o dia útil seguinte àquele em que forem verificadas.</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r w:rsidRPr="009633AE">
              <w:rPr>
                <w:rFonts w:ascii="Trebuchet MS" w:hAnsi="Trebuchet MS" w:cs="Times New Roman"/>
              </w:rPr>
              <w:t>” (NR)</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r w:rsidRPr="009633AE">
              <w:rPr>
                <w:rFonts w:ascii="Trebuchet MS" w:hAnsi="Trebuchet MS" w:cs="Times New Roman"/>
                <w:b/>
              </w:rPr>
              <w:t>Art. 14.</w:t>
            </w:r>
            <w:proofErr w:type="gramEnd"/>
            <w:r w:rsidRPr="009633AE">
              <w:rPr>
                <w:rFonts w:ascii="Trebuchet MS" w:hAnsi="Trebuchet MS" w:cs="Times New Roman"/>
              </w:rPr>
              <w:t xml:space="preserve"> As comunicações de que tratam os </w:t>
            </w:r>
            <w:proofErr w:type="spellStart"/>
            <w:r w:rsidRPr="009633AE">
              <w:rPr>
                <w:rFonts w:ascii="Trebuchet MS" w:hAnsi="Trebuchet MS" w:cs="Times New Roman"/>
              </w:rPr>
              <w:t>arts</w:t>
            </w:r>
            <w:proofErr w:type="spellEnd"/>
            <w:r w:rsidRPr="009633AE">
              <w:rPr>
                <w:rFonts w:ascii="Trebuchet MS" w:hAnsi="Trebuchet MS" w:cs="Times New Roman"/>
              </w:rPr>
              <w:t>. 12 e 13 deverão ser efetuadas sem que seja dada ciência aos envolvidos ou a terceiros.</w:t>
            </w:r>
          </w:p>
          <w:p w:rsidR="009633AE" w:rsidRP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proofErr w:type="gramEnd"/>
            <w:r w:rsidRPr="009633AE">
              <w:rPr>
                <w:rFonts w:ascii="Trebuchet MS" w:hAnsi="Trebuchet MS" w:cs="Times New Roman"/>
              </w:rPr>
              <w:t>” (NR)</w:t>
            </w:r>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w:t>
            </w:r>
            <w:r w:rsidRPr="009633AE">
              <w:rPr>
                <w:rFonts w:ascii="Trebuchet MS" w:hAnsi="Trebuchet MS" w:cs="Times New Roman"/>
                <w:b/>
              </w:rPr>
              <w:t>Art. 17.</w:t>
            </w:r>
            <w:r w:rsidRPr="009633AE">
              <w:rPr>
                <w:rFonts w:ascii="Trebuchet MS" w:hAnsi="Trebuchet MS" w:cs="Times New Roman"/>
              </w:rPr>
              <w:t xml:space="preserve"> O Banco Central do Brasil aplicará, cumulativamente ou não, as sanções previstas no art. 12 da Lei nº 9.613, de 1998, na forma estabelecida pela legislação, às instituições mencionadas no art. 1º desta Circular, bem como aos seus administradores que deixarem de cumprir as obrigações estabelecidas nesta Circular.” (NR</w:t>
            </w:r>
            <w:proofErr w:type="gramStart"/>
            <w:r w:rsidRPr="009633AE">
              <w:rPr>
                <w:rFonts w:ascii="Trebuchet MS" w:hAnsi="Trebuchet MS" w:cs="Times New Roman"/>
              </w:rPr>
              <w:t>)</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b/>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b/>
              </w:rPr>
              <w:t>Art. 2º -</w:t>
            </w:r>
            <w:proofErr w:type="gramStart"/>
            <w:r w:rsidRPr="009633AE">
              <w:rPr>
                <w:rFonts w:ascii="Trebuchet MS" w:hAnsi="Trebuchet MS" w:cs="Times New Roman"/>
                <w:b/>
              </w:rPr>
              <w:t xml:space="preserve"> </w:t>
            </w:r>
            <w:r w:rsidRPr="009633AE">
              <w:rPr>
                <w:rFonts w:ascii="Trebuchet MS" w:hAnsi="Trebuchet MS" w:cs="Times New Roman"/>
              </w:rPr>
              <w:t xml:space="preserve"> </w:t>
            </w:r>
            <w:proofErr w:type="gramEnd"/>
            <w:r w:rsidRPr="009633AE">
              <w:rPr>
                <w:rFonts w:ascii="Trebuchet MS" w:hAnsi="Trebuchet MS" w:cs="Times New Roman"/>
              </w:rPr>
              <w:t>A Circular nº 3.461, de 2009, fica acrescida do art. 15-A, com a seguinte redação:</w:t>
            </w:r>
          </w:p>
          <w:p w:rsidR="009633AE" w:rsidRDefault="009633AE" w:rsidP="009633AE">
            <w:pPr>
              <w:autoSpaceDE w:val="0"/>
              <w:autoSpaceDN w:val="0"/>
              <w:adjustRightInd w:val="0"/>
              <w:spacing w:after="0" w:line="240" w:lineRule="auto"/>
              <w:rPr>
                <w:rFonts w:ascii="Trebuchet MS" w:hAnsi="Trebuchet MS" w:cs="Times New Roman"/>
              </w:rPr>
            </w:pPr>
            <w:proofErr w:type="gramStart"/>
            <w:r w:rsidRPr="009633AE">
              <w:rPr>
                <w:rFonts w:ascii="Trebuchet MS" w:hAnsi="Trebuchet MS" w:cs="Times New Roman"/>
              </w:rPr>
              <w:t>“</w:t>
            </w:r>
            <w:r w:rsidRPr="009633AE">
              <w:rPr>
                <w:rFonts w:ascii="Trebuchet MS" w:hAnsi="Trebuchet MS" w:cs="Times New Roman"/>
                <w:b/>
              </w:rPr>
              <w:t>Art. 15-A</w:t>
            </w:r>
            <w:r w:rsidRPr="009633AE">
              <w:rPr>
                <w:rFonts w:ascii="Trebuchet MS" w:hAnsi="Trebuchet MS" w:cs="Times New Roman"/>
              </w:rPr>
              <w:t>.</w:t>
            </w:r>
            <w:proofErr w:type="gramEnd"/>
            <w:r w:rsidRPr="009633AE">
              <w:rPr>
                <w:rFonts w:ascii="Trebuchet MS" w:hAnsi="Trebuchet MS" w:cs="Times New Roman"/>
              </w:rPr>
              <w:t xml:space="preserve"> As instituições de que trata o art. 1º que não tiverem efetuado comunicações nos termos dos </w:t>
            </w:r>
            <w:proofErr w:type="spellStart"/>
            <w:r w:rsidRPr="009633AE">
              <w:rPr>
                <w:rFonts w:ascii="Trebuchet MS" w:hAnsi="Trebuchet MS" w:cs="Times New Roman"/>
              </w:rPr>
              <w:t>arts</w:t>
            </w:r>
            <w:proofErr w:type="spellEnd"/>
            <w:r w:rsidRPr="009633AE">
              <w:rPr>
                <w:rFonts w:ascii="Trebuchet MS" w:hAnsi="Trebuchet MS" w:cs="Times New Roman"/>
              </w:rPr>
              <w:t>. 12 e 13 em cada ano civil deverão prestar declaração, por meio do Sistema de Controle de Atividades Financeiras (</w:t>
            </w:r>
            <w:proofErr w:type="spellStart"/>
            <w:r w:rsidRPr="009633AE">
              <w:rPr>
                <w:rFonts w:ascii="Trebuchet MS" w:hAnsi="Trebuchet MS" w:cs="Times New Roman"/>
              </w:rPr>
              <w:t>Siscoaf</w:t>
            </w:r>
            <w:proofErr w:type="spellEnd"/>
            <w:r w:rsidRPr="009633AE">
              <w:rPr>
                <w:rFonts w:ascii="Trebuchet MS" w:hAnsi="Trebuchet MS" w:cs="Times New Roman"/>
              </w:rPr>
              <w:t>), atestando a não ocorrência de transações passíveis de comunicação conforme previsto nesta Circular.</w:t>
            </w:r>
          </w:p>
          <w:p w:rsidR="008808E2" w:rsidRPr="009633AE" w:rsidRDefault="008808E2"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Parágrafo único. A declaração mencionada no </w:t>
            </w:r>
            <w:r w:rsidRPr="009633AE">
              <w:rPr>
                <w:rFonts w:ascii="Trebuchet MS" w:hAnsi="Trebuchet MS" w:cs="Times New Roman"/>
                <w:b/>
                <w:bCs/>
              </w:rPr>
              <w:t>caput</w:t>
            </w:r>
            <w:r w:rsidRPr="009633AE">
              <w:rPr>
                <w:rFonts w:ascii="Trebuchet MS" w:hAnsi="Trebuchet MS" w:cs="Times New Roman"/>
              </w:rPr>
              <w:t xml:space="preserve"> deve ser:</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I - enviada em até dez dias úteis após o encerramento do ano civil;</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II - considerada para fins da verificação do atendimento ao disposto no art. 11, inciso III, da Lei nº 9.613, de 1998; </w:t>
            </w:r>
            <w:proofErr w:type="gramStart"/>
            <w:r w:rsidRPr="009633AE">
              <w:rPr>
                <w:rFonts w:ascii="Trebuchet MS" w:hAnsi="Trebuchet MS" w:cs="Times New Roman"/>
              </w:rPr>
              <w:t>e</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III - fornecida, no que se refere ao art. 12, apenas pelas instituições que mantêm os registros mencionados nos </w:t>
            </w:r>
            <w:proofErr w:type="spellStart"/>
            <w:r w:rsidRPr="009633AE">
              <w:rPr>
                <w:rFonts w:ascii="Trebuchet MS" w:hAnsi="Trebuchet MS" w:cs="Times New Roman"/>
              </w:rPr>
              <w:t>arts</w:t>
            </w:r>
            <w:proofErr w:type="spellEnd"/>
            <w:r w:rsidRPr="009633AE">
              <w:rPr>
                <w:rFonts w:ascii="Trebuchet MS" w:hAnsi="Trebuchet MS" w:cs="Times New Roman"/>
              </w:rPr>
              <w:t xml:space="preserve">. 8º </w:t>
            </w:r>
            <w:proofErr w:type="gramStart"/>
            <w:r w:rsidRPr="009633AE">
              <w:rPr>
                <w:rFonts w:ascii="Trebuchet MS" w:hAnsi="Trebuchet MS" w:cs="Times New Roman"/>
              </w:rPr>
              <w:t>e 9º desta Circular.”</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b/>
              </w:rPr>
              <w:t>Art. 3º</w:t>
            </w:r>
            <w:r w:rsidRPr="009633AE">
              <w:rPr>
                <w:rFonts w:ascii="Trebuchet MS" w:hAnsi="Trebuchet MS" w:cs="Times New Roman"/>
              </w:rPr>
              <w:t xml:space="preserve"> - Esta Circular entra em vigor na data de sua publicação.</w:t>
            </w:r>
            <w:r w:rsidRPr="009633AE">
              <w:rPr>
                <w:rFonts w:ascii="Trebuchet MS" w:hAnsi="Trebuchet MS" w:cs="Times New Roman"/>
              </w:rPr>
              <w:br/>
            </w:r>
            <w:r w:rsidRPr="009633AE">
              <w:rPr>
                <w:rFonts w:ascii="Trebuchet MS" w:hAnsi="Trebuchet MS" w:cs="Times New Roman"/>
              </w:rPr>
              <w:br/>
            </w:r>
            <w:r w:rsidRPr="009633AE">
              <w:rPr>
                <w:rFonts w:ascii="Trebuchet MS" w:hAnsi="Trebuchet MS" w:cs="Times New Roman"/>
              </w:rPr>
              <w:br/>
            </w:r>
            <w:r w:rsidRPr="009633AE">
              <w:rPr>
                <w:rFonts w:ascii="Trebuchet MS" w:hAnsi="Trebuchet MS" w:cs="Times New Roman"/>
              </w:rPr>
              <w:br/>
              <w:t xml:space="preserve">Luiz Edson </w:t>
            </w:r>
            <w:proofErr w:type="spellStart"/>
            <w:proofErr w:type="gramStart"/>
            <w:r w:rsidRPr="009633AE">
              <w:rPr>
                <w:rFonts w:ascii="Trebuchet MS" w:hAnsi="Trebuchet MS" w:cs="Times New Roman"/>
              </w:rPr>
              <w:t>Feltrim</w:t>
            </w:r>
            <w:proofErr w:type="spellEnd"/>
            <w:proofErr w:type="gramEnd"/>
            <w:r w:rsidRPr="009633AE">
              <w:rPr>
                <w:rFonts w:ascii="Trebuchet MS" w:hAnsi="Trebuchet MS" w:cs="Times New Roman"/>
              </w:rPr>
              <w:t xml:space="preserve"> </w:t>
            </w:r>
          </w:p>
          <w:p w:rsidR="009633AE" w:rsidRPr="009633AE" w:rsidRDefault="009633AE" w:rsidP="009633AE">
            <w:pPr>
              <w:autoSpaceDE w:val="0"/>
              <w:autoSpaceDN w:val="0"/>
              <w:adjustRightInd w:val="0"/>
              <w:spacing w:after="0" w:line="240" w:lineRule="auto"/>
              <w:rPr>
                <w:rFonts w:ascii="Trebuchet MS" w:hAnsi="Trebuchet MS" w:cs="Times New Roman"/>
              </w:rPr>
            </w:pPr>
            <w:r w:rsidRPr="009633AE">
              <w:rPr>
                <w:rFonts w:ascii="Trebuchet MS" w:hAnsi="Trebuchet MS" w:cs="Times New Roman"/>
              </w:rPr>
              <w:t xml:space="preserve">Diretor de Regulação do Sistema Financeiro, </w:t>
            </w:r>
            <w:proofErr w:type="gramStart"/>
            <w:r w:rsidRPr="009633AE">
              <w:rPr>
                <w:rFonts w:ascii="Trebuchet MS" w:hAnsi="Trebuchet MS" w:cs="Times New Roman"/>
              </w:rPr>
              <w:t>substituto</w:t>
            </w:r>
            <w:proofErr w:type="gramEnd"/>
          </w:p>
          <w:p w:rsidR="009633AE" w:rsidRPr="009633AE" w:rsidRDefault="009633AE" w:rsidP="009633AE">
            <w:pPr>
              <w:autoSpaceDE w:val="0"/>
              <w:autoSpaceDN w:val="0"/>
              <w:adjustRightInd w:val="0"/>
              <w:spacing w:after="0" w:line="240" w:lineRule="auto"/>
              <w:rPr>
                <w:rFonts w:ascii="Trebuchet MS" w:hAnsi="Trebuchet MS" w:cs="Times New Roman"/>
              </w:rPr>
            </w:pPr>
          </w:p>
          <w:p w:rsidR="009633AE" w:rsidRPr="009633AE" w:rsidRDefault="009633AE" w:rsidP="009633AE">
            <w:pPr>
              <w:autoSpaceDE w:val="0"/>
              <w:autoSpaceDN w:val="0"/>
              <w:adjustRightInd w:val="0"/>
              <w:spacing w:after="0" w:line="240" w:lineRule="auto"/>
              <w:rPr>
                <w:rFonts w:ascii="Trebuchet MS" w:hAnsi="Trebuchet MS" w:cs="Times New Roman"/>
              </w:rPr>
            </w:pPr>
            <w:proofErr w:type="spellStart"/>
            <w:r w:rsidRPr="009633AE">
              <w:rPr>
                <w:rFonts w:ascii="Trebuchet MS" w:hAnsi="Trebuchet MS" w:cs="Times New Roman"/>
              </w:rPr>
              <w:t>Anthero</w:t>
            </w:r>
            <w:proofErr w:type="spellEnd"/>
            <w:r w:rsidRPr="009633AE">
              <w:rPr>
                <w:rFonts w:ascii="Trebuchet MS" w:hAnsi="Trebuchet MS" w:cs="Times New Roman"/>
              </w:rPr>
              <w:t xml:space="preserve"> de Moraes Meirelles</w:t>
            </w:r>
            <w:r w:rsidRPr="009633AE">
              <w:rPr>
                <w:rFonts w:ascii="Trebuchet MS" w:hAnsi="Trebuchet MS" w:cs="Times New Roman"/>
              </w:rPr>
              <w:br/>
              <w:t>Diretor de Fiscalização</w:t>
            </w:r>
            <w:r w:rsidRPr="009633AE">
              <w:rPr>
                <w:rFonts w:ascii="Trebuchet MS" w:hAnsi="Trebuchet MS" w:cs="Times New Roman"/>
              </w:rPr>
              <w:br/>
            </w:r>
          </w:p>
        </w:tc>
      </w:tr>
    </w:tbl>
    <w:p w:rsidR="009633AE" w:rsidRDefault="009633AE" w:rsidP="009633AE">
      <w:pPr>
        <w:autoSpaceDE w:val="0"/>
        <w:autoSpaceDN w:val="0"/>
        <w:adjustRightInd w:val="0"/>
        <w:spacing w:before="100" w:after="100" w:line="240" w:lineRule="auto"/>
        <w:jc w:val="center"/>
        <w:rPr>
          <w:rFonts w:ascii="Times New Roman" w:hAnsi="Times New Roman" w:cs="Times New Roman"/>
          <w:sz w:val="24"/>
          <w:szCs w:val="24"/>
        </w:rPr>
      </w:pPr>
    </w:p>
    <w:p w:rsidR="009633AE" w:rsidRDefault="009633AE" w:rsidP="009633AE">
      <w:pPr>
        <w:autoSpaceDE w:val="0"/>
        <w:autoSpaceDN w:val="0"/>
        <w:adjustRightInd w:val="0"/>
        <w:rPr>
          <w:rFonts w:ascii="Calibri" w:hAnsi="Calibri" w:cs="Calibri"/>
          <w:lang/>
        </w:rPr>
      </w:pPr>
    </w:p>
    <w:sectPr w:rsidR="009633AE" w:rsidSect="002E0C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9633AE"/>
    <w:rsid w:val="002E0C45"/>
    <w:rsid w:val="008808E2"/>
    <w:rsid w:val="009633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1442</Words>
  <Characters>7788</Characters>
  <Application>Microsoft Office Word</Application>
  <DocSecurity>0</DocSecurity>
  <Lines>64</Lines>
  <Paragraphs>18</Paragraphs>
  <ScaleCrop>false</ScaleCrop>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2</cp:revision>
  <dcterms:created xsi:type="dcterms:W3CDTF">2013-03-27T18:58:00Z</dcterms:created>
  <dcterms:modified xsi:type="dcterms:W3CDTF">2013-03-27T19:06:00Z</dcterms:modified>
</cp:coreProperties>
</file>