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4" w:type="dxa"/>
        <w:jc w:val="center"/>
        <w:tblCellSpacing w:w="0" w:type="dxa"/>
        <w:tblInd w:w="-4" w:type="dxa"/>
        <w:tblCellMar>
          <w:left w:w="0" w:type="dxa"/>
          <w:right w:w="0" w:type="dxa"/>
        </w:tblCellMar>
        <w:tblLook w:val="04A0"/>
      </w:tblPr>
      <w:tblGrid>
        <w:gridCol w:w="5664"/>
      </w:tblGrid>
      <w:tr w:rsidR="00064A79" w:rsidRPr="00265650" w:rsidTr="00265650">
        <w:trPr>
          <w:tblCellSpacing w:w="0" w:type="dxa"/>
          <w:jc w:val="center"/>
        </w:trPr>
        <w:tc>
          <w:tcPr>
            <w:tcW w:w="5664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51"/>
            </w:tblGrid>
            <w:tr w:rsidR="00064A79" w:rsidRPr="0026565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4A79" w:rsidRPr="00265650" w:rsidRDefault="00064A79" w:rsidP="00064A79">
                  <w:pPr>
                    <w:jc w:val="center"/>
                    <w:rPr>
                      <w:rFonts w:ascii="Trebuchet MS" w:hAnsi="Trebuchet MS" w:cs="Courier New"/>
                      <w:b/>
                      <w:caps/>
                      <w:sz w:val="20"/>
                      <w:szCs w:val="20"/>
                    </w:rPr>
                  </w:pPr>
                  <w:r w:rsidRPr="00265650">
                    <w:rPr>
                      <w:rFonts w:ascii="Trebuchet MS" w:hAnsi="Trebuchet MS" w:cs="Courier New"/>
                      <w:b/>
                      <w:caps/>
                      <w:sz w:val="20"/>
                      <w:szCs w:val="20"/>
                    </w:rPr>
                    <w:t xml:space="preserve">Resolução Nº 4.172, de 20 de Dezembro de </w:t>
                  </w:r>
                  <w:proofErr w:type="gramStart"/>
                  <w:r w:rsidRPr="00265650">
                    <w:rPr>
                      <w:rFonts w:ascii="Trebuchet MS" w:hAnsi="Trebuchet MS" w:cs="Courier New"/>
                      <w:b/>
                      <w:caps/>
                      <w:sz w:val="20"/>
                      <w:szCs w:val="20"/>
                    </w:rPr>
                    <w:t>2012</w:t>
                  </w:r>
                  <w:proofErr w:type="gramEnd"/>
                </w:p>
              </w:tc>
            </w:tr>
            <w:tr w:rsidR="00064A79" w:rsidRPr="0026565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4A79" w:rsidRPr="00265650" w:rsidRDefault="00064A79" w:rsidP="00064A79">
                  <w:pPr>
                    <w:jc w:val="center"/>
                    <w:rPr>
                      <w:rFonts w:ascii="Trebuchet MS" w:hAnsi="Trebuchet MS" w:cs="Courier New"/>
                      <w:b/>
                      <w:caps/>
                      <w:sz w:val="20"/>
                      <w:szCs w:val="20"/>
                    </w:rPr>
                  </w:pPr>
                </w:p>
                <w:p w:rsidR="00064A79" w:rsidRPr="00265650" w:rsidRDefault="00064A79" w:rsidP="00064A79">
                  <w:pPr>
                    <w:jc w:val="center"/>
                    <w:rPr>
                      <w:rFonts w:ascii="Trebuchet MS" w:hAnsi="Trebuchet MS" w:cs="Courier New"/>
                      <w:b/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064A79" w:rsidRPr="00265650" w:rsidRDefault="00064A79" w:rsidP="00064A79">
            <w:pPr>
              <w:jc w:val="center"/>
              <w:rPr>
                <w:rFonts w:ascii="Trebuchet MS" w:eastAsiaTheme="minorEastAsia" w:hAnsi="Trebuchet MS" w:cs="Courier New"/>
                <w:b/>
                <w:sz w:val="20"/>
                <w:szCs w:val="20"/>
              </w:rPr>
            </w:pPr>
          </w:p>
        </w:tc>
      </w:tr>
      <w:tr w:rsidR="00064A79" w:rsidRPr="00265650" w:rsidTr="00265650">
        <w:trPr>
          <w:tblCellSpacing w:w="0" w:type="dxa"/>
          <w:jc w:val="center"/>
        </w:trPr>
        <w:tc>
          <w:tcPr>
            <w:tcW w:w="5664" w:type="dxa"/>
            <w:vAlign w:val="center"/>
            <w:hideMark/>
          </w:tcPr>
          <w:p w:rsidR="00064A79" w:rsidRPr="00265650" w:rsidRDefault="00064A79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proofErr w:type="gramStart"/>
            <w:r w:rsidRPr="00265650">
              <w:rPr>
                <w:rFonts w:ascii="Trebuchet MS" w:hAnsi="Trebuchet MS" w:cs="Courier New"/>
                <w:sz w:val="20"/>
                <w:szCs w:val="20"/>
              </w:rPr>
              <w:t>Dispõe</w:t>
            </w:r>
            <w:proofErr w:type="gramEnd"/>
            <w:r w:rsidRPr="00265650">
              <w:rPr>
                <w:rFonts w:ascii="Trebuchet MS" w:hAnsi="Trebuchet MS" w:cs="Courier New"/>
                <w:sz w:val="20"/>
                <w:szCs w:val="20"/>
              </w:rPr>
              <w:t xml:space="preserve"> sobre o fornecimento, pelas instituições financeiras e demais instituições autorizadas a funcionar pelo Banco Central do Brasil, das informações de adimplemento de pessoas naturais e de pessoas jurídicas aos bancos de dados de que trata a Lei nº 12.414, de 9 de junho de 2011, para formação de histórico de crédito. </w:t>
            </w:r>
          </w:p>
          <w:p w:rsidR="00064A79" w:rsidRPr="00265650" w:rsidRDefault="00064A79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</w:tr>
      <w:tr w:rsidR="00064A79" w:rsidRPr="00265650" w:rsidTr="00265650">
        <w:trPr>
          <w:tblCellSpacing w:w="0" w:type="dxa"/>
          <w:jc w:val="center"/>
        </w:trPr>
        <w:tc>
          <w:tcPr>
            <w:tcW w:w="5664" w:type="dxa"/>
            <w:vAlign w:val="center"/>
            <w:hideMark/>
          </w:tcPr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sz w:val="20"/>
                <w:szCs w:val="20"/>
              </w:rPr>
              <w:t xml:space="preserve">O Banco Central do Brasil, na forma do art. 9º da Lei nº 4.595, de 31 de dezembro de 1964, torna público que o Conselho Monetário Nacional, em sessão realizada em 20 de dezembro de 2012, com base nos </w:t>
            </w:r>
            <w:proofErr w:type="spellStart"/>
            <w:r w:rsidRPr="00265650">
              <w:rPr>
                <w:rFonts w:ascii="Trebuchet MS" w:hAnsi="Trebuchet MS" w:cs="Courier New"/>
                <w:sz w:val="20"/>
                <w:szCs w:val="20"/>
              </w:rPr>
              <w:t>arts</w:t>
            </w:r>
            <w:proofErr w:type="spellEnd"/>
            <w:r w:rsidRPr="00265650">
              <w:rPr>
                <w:rFonts w:ascii="Trebuchet MS" w:hAnsi="Trebuchet MS" w:cs="Courier New"/>
                <w:sz w:val="20"/>
                <w:szCs w:val="20"/>
              </w:rPr>
              <w:t xml:space="preserve">. 4º, incisos VI e VIII, da referida Lei, 1º da Lei Complementar nº 130, de 17 de abril de 2009, 12, § 3º, da Lei nº 12.414, de </w:t>
            </w:r>
            <w:proofErr w:type="gramStart"/>
            <w:r w:rsidRPr="00265650">
              <w:rPr>
                <w:rFonts w:ascii="Trebuchet MS" w:hAnsi="Trebuchet MS" w:cs="Courier New"/>
                <w:sz w:val="20"/>
                <w:szCs w:val="20"/>
              </w:rPr>
              <w:t>9</w:t>
            </w:r>
            <w:proofErr w:type="gramEnd"/>
            <w:r w:rsidRPr="00265650">
              <w:rPr>
                <w:rFonts w:ascii="Trebuchet MS" w:hAnsi="Trebuchet MS" w:cs="Courier New"/>
                <w:sz w:val="20"/>
                <w:szCs w:val="20"/>
              </w:rPr>
              <w:t xml:space="preserve"> de junho de 2011, e 4º do Decreto nº 7.829, de 17 de outubro de 2012,</w:t>
            </w:r>
          </w:p>
          <w:p w:rsidR="00064A79" w:rsidRPr="00265650" w:rsidRDefault="00064A79" w:rsidP="00265650">
            <w:pPr>
              <w:spacing w:line="200" w:lineRule="atLeast"/>
              <w:rPr>
                <w:rFonts w:ascii="Trebuchet MS" w:hAnsi="Trebuchet MS" w:cs="Courier New"/>
                <w:sz w:val="20"/>
                <w:szCs w:val="20"/>
              </w:rPr>
            </w:pPr>
          </w:p>
          <w:p w:rsidR="00064A79" w:rsidRPr="00265650" w:rsidRDefault="00064A79" w:rsidP="00265650">
            <w:pPr>
              <w:spacing w:line="200" w:lineRule="atLeast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sz w:val="20"/>
                <w:szCs w:val="20"/>
              </w:rPr>
              <w:t xml:space="preserve">R E S O L V E </w:t>
            </w:r>
            <w:proofErr w:type="gramStart"/>
            <w:r w:rsidRPr="00265650">
              <w:rPr>
                <w:rFonts w:ascii="Trebuchet MS" w:hAnsi="Trebuchet MS" w:cs="Courier New"/>
                <w:sz w:val="20"/>
                <w:szCs w:val="20"/>
              </w:rPr>
              <w:t>U :</w:t>
            </w:r>
            <w:proofErr w:type="gramEnd"/>
          </w:p>
          <w:p w:rsidR="00265650" w:rsidRPr="00265650" w:rsidRDefault="00265650" w:rsidP="00265650">
            <w:pPr>
              <w:spacing w:line="200" w:lineRule="atLeast"/>
              <w:rPr>
                <w:rFonts w:ascii="Trebuchet MS" w:hAnsi="Trebuchet MS" w:cs="Courier New"/>
                <w:sz w:val="20"/>
                <w:szCs w:val="20"/>
              </w:rPr>
            </w:pP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b/>
                <w:sz w:val="20"/>
                <w:szCs w:val="20"/>
              </w:rPr>
              <w:t>Art. 1º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265650" w:rsidRPr="00265650">
              <w:rPr>
                <w:rFonts w:ascii="Trebuchet MS" w:hAnsi="Trebuchet MS" w:cs="Courier New"/>
                <w:sz w:val="20"/>
                <w:szCs w:val="20"/>
              </w:rPr>
              <w:t>-</w:t>
            </w:r>
            <w:proofErr w:type="gramStart"/>
            <w:r w:rsidR="00265650" w:rsidRPr="00265650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> </w:t>
            </w:r>
            <w:proofErr w:type="gramEnd"/>
            <w:r w:rsidRPr="00265650">
              <w:rPr>
                <w:rFonts w:ascii="Trebuchet MS" w:hAnsi="Trebuchet MS" w:cs="Courier New"/>
                <w:sz w:val="20"/>
                <w:szCs w:val="20"/>
              </w:rPr>
              <w:t>As instituições financeiras e demais instituições autorizadas a funcionar pelo Banco Central do Brasil devem repassar aos bancos de dados disciplinados pela Lei nº 12.414, de 9 de junho de 2011, e pelo Decreto nº 7.829, de 17 de outubro de 2012, as informações que compõem o histórico das operações de empréstimo e de financiamento dos seus clientes.</w:t>
            </w: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b/>
                <w:sz w:val="20"/>
                <w:szCs w:val="20"/>
              </w:rPr>
              <w:t>§ 1º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 xml:space="preserve">  As informações previstas no </w:t>
            </w:r>
            <w:r w:rsidRPr="00265650">
              <w:rPr>
                <w:rStyle w:val="Forte"/>
                <w:rFonts w:ascii="Trebuchet MS" w:hAnsi="Trebuchet MS" w:cs="Courier New"/>
                <w:sz w:val="20"/>
                <w:szCs w:val="20"/>
              </w:rPr>
              <w:t>caput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 xml:space="preserve"> devem abranger também:</w:t>
            </w: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sz w:val="20"/>
                <w:szCs w:val="20"/>
              </w:rPr>
              <w:t>I - operações de arrendamento mercantil;</w:t>
            </w: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sz w:val="20"/>
                <w:szCs w:val="20"/>
              </w:rPr>
              <w:t>II - operações de autofinanciamento realizadas por meio dos grupos de consórcio;</w:t>
            </w: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sz w:val="20"/>
                <w:szCs w:val="20"/>
              </w:rPr>
              <w:t>III - adiantamentos; e</w:t>
            </w: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sz w:val="20"/>
                <w:szCs w:val="20"/>
              </w:rPr>
              <w:t>IV - outras operações com características de concessão de crédito.</w:t>
            </w: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b/>
                <w:sz w:val="20"/>
                <w:szCs w:val="20"/>
              </w:rPr>
              <w:t>§ 2º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>  As informações referentes às operações previstas no inciso II devem ser repassadas pelas administradoras de consórcio responsáveis pelos respectivos grupos.</w:t>
            </w:r>
          </w:p>
          <w:p w:rsidR="00064A79" w:rsidRPr="00265650" w:rsidRDefault="00064A79" w:rsidP="00265650">
            <w:pPr>
              <w:spacing w:line="200" w:lineRule="atLeast"/>
              <w:rPr>
                <w:rFonts w:ascii="Trebuchet MS" w:hAnsi="Trebuchet MS" w:cs="Courier New"/>
                <w:sz w:val="20"/>
                <w:szCs w:val="20"/>
              </w:rPr>
            </w:pP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b/>
                <w:sz w:val="20"/>
                <w:szCs w:val="20"/>
              </w:rPr>
              <w:t>Art. 2º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 xml:space="preserve">  </w:t>
            </w:r>
            <w:r w:rsidR="00265650" w:rsidRPr="00265650"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>As informações previstas no art. 1º devem ser repassadas, exclusivamente, a bancos de dados cujo gestor detenha patrimônio líquido mínimo de R$70.000.000,00 (setenta milhões de reais).</w:t>
            </w: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b/>
                <w:sz w:val="20"/>
                <w:szCs w:val="20"/>
              </w:rPr>
              <w:t>Parágrafo único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 xml:space="preserve">.  Em se tratando de banco de dados gerido por pessoas jurídicas associadas, para os fins do disposto no caput deste artigo, devem ser observados, no que </w:t>
            </w:r>
            <w:proofErr w:type="gramStart"/>
            <w:r w:rsidRPr="00265650">
              <w:rPr>
                <w:rFonts w:ascii="Trebuchet MS" w:hAnsi="Trebuchet MS" w:cs="Courier New"/>
                <w:sz w:val="20"/>
                <w:szCs w:val="20"/>
              </w:rPr>
              <w:t>couber</w:t>
            </w:r>
            <w:proofErr w:type="gramEnd"/>
            <w:r w:rsidRPr="00265650">
              <w:rPr>
                <w:rFonts w:ascii="Trebuchet MS" w:hAnsi="Trebuchet MS" w:cs="Courier New"/>
                <w:sz w:val="20"/>
                <w:szCs w:val="20"/>
              </w:rPr>
              <w:t>, os procedimentos contábeis relativos à consolidação de demonstrações financeiras.</w:t>
            </w: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b/>
                <w:sz w:val="20"/>
                <w:szCs w:val="20"/>
              </w:rPr>
              <w:t>Art. 3º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> </w:t>
            </w:r>
            <w:r w:rsidR="00265650" w:rsidRPr="00265650">
              <w:rPr>
                <w:rFonts w:ascii="Trebuchet MS" w:hAnsi="Trebuchet MS" w:cs="Courier New"/>
                <w:sz w:val="20"/>
                <w:szCs w:val="20"/>
              </w:rPr>
              <w:t>-</w:t>
            </w:r>
            <w:proofErr w:type="gramStart"/>
            <w:r w:rsidR="00265650" w:rsidRPr="00265650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proofErr w:type="gramEnd"/>
            <w:r w:rsidRPr="00265650">
              <w:rPr>
                <w:rFonts w:ascii="Trebuchet MS" w:hAnsi="Trebuchet MS" w:cs="Courier New"/>
                <w:sz w:val="20"/>
                <w:szCs w:val="20"/>
              </w:rPr>
              <w:t>O repasse das informações a bancos de dados fica condicionado à expressa solicitação ou autorização do cliente para abertura de cadastro e para compartilhamento da informação, a qual pode ser efetivada diretamente às instituições mencionadas no art. 1º ou ao gestor do banco de dados, conforme termo ou cláusula que especifique esta condição.</w:t>
            </w: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b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b/>
                <w:sz w:val="20"/>
                <w:szCs w:val="20"/>
              </w:rPr>
              <w:t>§ 1º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 xml:space="preserve">  As instituições que coletarem a solicitação ou autorização para repasse das informações são responsáveis pela comprovação de sua autenticidade, devendo manter o 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lastRenderedPageBreak/>
              <w:t xml:space="preserve">documento físico ou eletrônico que ateste a solicitação ou autorização por, no mínimo, </w:t>
            </w:r>
            <w:r w:rsidRPr="00265650">
              <w:rPr>
                <w:rFonts w:ascii="Trebuchet MS" w:hAnsi="Trebuchet MS" w:cs="Courier New"/>
                <w:b/>
                <w:sz w:val="20"/>
                <w:szCs w:val="20"/>
              </w:rPr>
              <w:t>cinco anos.</w:t>
            </w: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b/>
                <w:sz w:val="20"/>
                <w:szCs w:val="20"/>
              </w:rPr>
              <w:t>§ 2º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>  A solicitação ou autorização concedida a uma instituição se estende às demais instituições no que se refere ao repasse de informações do mesmo cliente.</w:t>
            </w: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b/>
                <w:sz w:val="20"/>
                <w:szCs w:val="20"/>
              </w:rPr>
              <w:t>Art. 4º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>  Para fins do disposto no art. 1º, compõem o histórico das operações:</w:t>
            </w: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sz w:val="20"/>
                <w:szCs w:val="20"/>
              </w:rPr>
              <w:t>I - a data da concessão do empréstimo ou financiamento, ou da assunção da obrigação ou compromisso de pagamento;</w:t>
            </w: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sz w:val="20"/>
                <w:szCs w:val="20"/>
              </w:rPr>
              <w:t>II - o valor original total do empréstimo ou financiamento concedido, ou da obrigação ou compromisso assumido;</w:t>
            </w: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sz w:val="20"/>
                <w:szCs w:val="20"/>
              </w:rPr>
              <w:t xml:space="preserve">III - os valores das prestações de empréstimo ou financiamento, ou das parcelas das obrigações ou compromissos, indicadas as datas de vencimento; </w:t>
            </w:r>
            <w:proofErr w:type="gramStart"/>
            <w:r w:rsidRPr="00265650">
              <w:rPr>
                <w:rFonts w:ascii="Trebuchet MS" w:hAnsi="Trebuchet MS" w:cs="Courier New"/>
                <w:sz w:val="20"/>
                <w:szCs w:val="20"/>
              </w:rPr>
              <w:t>e</w:t>
            </w:r>
            <w:proofErr w:type="gramEnd"/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sz w:val="20"/>
                <w:szCs w:val="20"/>
              </w:rPr>
              <w:t>IV - os valores pagos, mesmo que parciais, das prestações de empréstimo ou financiamento, ou das parcelas das obrigações ou compromissos, indicadas as datas de pagamento.</w:t>
            </w: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b/>
                <w:sz w:val="20"/>
                <w:szCs w:val="20"/>
              </w:rPr>
              <w:t>Art. 5º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> </w:t>
            </w:r>
            <w:r w:rsidR="00265650" w:rsidRPr="00265650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 xml:space="preserve"> No caso de venda ou transferência da operação, a obrigação de prestar a informação prevista no art. 1º será da instituição que mantiver o registro da operação em seu ativo, conforme disposto na regulamentação vigente.</w:t>
            </w: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b/>
                <w:sz w:val="20"/>
                <w:szCs w:val="20"/>
              </w:rPr>
              <w:t>Art. 6º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> </w:t>
            </w:r>
            <w:r w:rsidR="00265650" w:rsidRPr="00265650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 xml:space="preserve"> O Banco Central do Brasil baixará as instruções necessárias ao cumprimento do disposto nesta Resolução.</w:t>
            </w: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b/>
                <w:sz w:val="20"/>
                <w:szCs w:val="20"/>
              </w:rPr>
              <w:t>Art. 7º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> </w:t>
            </w:r>
            <w:r w:rsidR="00265650" w:rsidRPr="00265650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 xml:space="preserve"> As instituições referidas no art. 1º possuem prazo até 1º de agosto de 2013 para realizarem os ajustes operacionais necessários ao cumprimento do disposto nesta Resolução.</w:t>
            </w: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  <w:p w:rsidR="00064A79" w:rsidRPr="00265650" w:rsidRDefault="00064A79" w:rsidP="00265650">
            <w:pPr>
              <w:spacing w:line="200" w:lineRule="atLeast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b/>
                <w:sz w:val="20"/>
                <w:szCs w:val="20"/>
              </w:rPr>
              <w:t>Art. 8º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265650" w:rsidRPr="00265650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> Esta Resolução entra em vigor na data de sua publicação.</w:t>
            </w:r>
          </w:p>
          <w:p w:rsidR="00064A79" w:rsidRPr="00265650" w:rsidRDefault="00064A79" w:rsidP="00265650">
            <w:pPr>
              <w:spacing w:line="200" w:lineRule="atLeast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  <w:p w:rsidR="00064A79" w:rsidRPr="00265650" w:rsidRDefault="00064A79" w:rsidP="00265650">
            <w:pPr>
              <w:spacing w:before="100" w:beforeAutospacing="1" w:after="100" w:afterAutospacing="1" w:line="200" w:lineRule="atLeast"/>
              <w:jc w:val="center"/>
              <w:rPr>
                <w:rFonts w:ascii="Trebuchet MS" w:hAnsi="Trebuchet MS" w:cs="Courier New"/>
                <w:sz w:val="20"/>
                <w:szCs w:val="20"/>
              </w:rPr>
            </w:pPr>
            <w:r w:rsidRPr="00265650">
              <w:rPr>
                <w:rFonts w:ascii="Trebuchet MS" w:hAnsi="Trebuchet MS" w:cs="Courier New"/>
                <w:sz w:val="20"/>
                <w:szCs w:val="20"/>
              </w:rPr>
              <w:t>Alexandre</w:t>
            </w:r>
            <w:r w:rsidR="00265650" w:rsidRPr="00265650">
              <w:rPr>
                <w:rFonts w:ascii="Trebuchet MS" w:hAnsi="Trebuchet MS" w:cs="Courier New"/>
                <w:sz w:val="20"/>
                <w:szCs w:val="20"/>
              </w:rPr>
              <w:t xml:space="preserve"> Antonio </w:t>
            </w:r>
            <w:proofErr w:type="spellStart"/>
            <w:r w:rsidR="00265650" w:rsidRPr="00265650">
              <w:rPr>
                <w:rFonts w:ascii="Trebuchet MS" w:hAnsi="Trebuchet MS" w:cs="Courier New"/>
                <w:sz w:val="20"/>
                <w:szCs w:val="20"/>
              </w:rPr>
              <w:t>Tombini</w:t>
            </w:r>
            <w:proofErr w:type="spellEnd"/>
            <w:r w:rsidR="00265650" w:rsidRPr="00265650">
              <w:rPr>
                <w:rFonts w:ascii="Trebuchet MS" w:hAnsi="Trebuchet MS" w:cs="Courier New"/>
                <w:sz w:val="20"/>
                <w:szCs w:val="20"/>
              </w:rPr>
              <w:br/>
            </w:r>
            <w:r w:rsidRPr="00265650">
              <w:rPr>
                <w:rFonts w:ascii="Trebuchet MS" w:hAnsi="Trebuchet MS" w:cs="Courier New"/>
                <w:sz w:val="20"/>
                <w:szCs w:val="20"/>
              </w:rPr>
              <w:t>Presidente do Banco Central do Brasil</w:t>
            </w:r>
          </w:p>
        </w:tc>
      </w:tr>
    </w:tbl>
    <w:p w:rsidR="008C6A02" w:rsidRPr="00265650" w:rsidRDefault="008C6A02" w:rsidP="00265650"/>
    <w:sectPr w:rsidR="008C6A02" w:rsidRPr="00265650" w:rsidSect="008C6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064A79"/>
    <w:rsid w:val="00064A79"/>
    <w:rsid w:val="000B310F"/>
    <w:rsid w:val="00265650"/>
    <w:rsid w:val="008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7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64A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2</cp:revision>
  <dcterms:created xsi:type="dcterms:W3CDTF">2012-12-21T13:40:00Z</dcterms:created>
  <dcterms:modified xsi:type="dcterms:W3CDTF">2012-12-26T16:35:00Z</dcterms:modified>
</cp:coreProperties>
</file>