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53"/>
      </w:tblGrid>
      <w:tr w:rsidR="00C7483B" w:rsidRPr="00C7483B" w:rsidTr="00C7483B">
        <w:trPr>
          <w:trHeight w:val="142"/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C7483B" w:rsidRPr="00C7483B" w:rsidRDefault="00C7483B" w:rsidP="00C7483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lang w:eastAsia="pt-BR"/>
              </w:rPr>
            </w:pPr>
          </w:p>
        </w:tc>
      </w:tr>
    </w:tbl>
    <w:p w:rsidR="00C7483B" w:rsidRPr="00C7483B" w:rsidRDefault="00C7483B" w:rsidP="00C7483B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000080"/>
          <w:lang w:eastAsia="pt-BR"/>
        </w:rPr>
      </w:pPr>
      <w:r w:rsidRPr="00C7483B">
        <w:rPr>
          <w:rFonts w:ascii="Trebuchet MS" w:eastAsia="Times New Roman" w:hAnsi="Trebuchet MS" w:cs="Arial"/>
          <w:b/>
          <w:bCs/>
          <w:color w:val="000080"/>
          <w:lang w:eastAsia="pt-BR"/>
        </w:rPr>
        <w:t>PRESIDÊNCIA DA REPÚBLICA</w:t>
      </w:r>
    </w:p>
    <w:p w:rsidR="00C7483B" w:rsidRPr="00C7483B" w:rsidRDefault="00C7483B" w:rsidP="00C7483B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000080"/>
          <w:lang w:eastAsia="pt-BR"/>
        </w:rPr>
      </w:pPr>
      <w:r w:rsidRPr="00C7483B">
        <w:rPr>
          <w:rFonts w:ascii="Trebuchet MS" w:eastAsia="Times New Roman" w:hAnsi="Trebuchet MS" w:cs="Arial"/>
          <w:b/>
          <w:bCs/>
          <w:color w:val="000080"/>
          <w:lang w:eastAsia="pt-BR"/>
        </w:rPr>
        <w:t>CASA CIVIL</w:t>
      </w:r>
    </w:p>
    <w:p w:rsidR="00C7483B" w:rsidRPr="00C7483B" w:rsidRDefault="00C7483B" w:rsidP="00C7483B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000080"/>
          <w:lang w:eastAsia="pt-BR"/>
        </w:rPr>
      </w:pPr>
      <w:r w:rsidRPr="00C7483B">
        <w:rPr>
          <w:rFonts w:ascii="Trebuchet MS" w:eastAsia="Times New Roman" w:hAnsi="Trebuchet MS" w:cs="Arial"/>
          <w:b/>
          <w:bCs/>
          <w:color w:val="000080"/>
          <w:lang w:eastAsia="pt-BR"/>
        </w:rPr>
        <w:t>SUBCHEFIA PARA ASSUNTOS JURÍDICOS</w:t>
      </w:r>
    </w:p>
    <w:p w:rsidR="00C7483B" w:rsidRPr="00C7483B" w:rsidRDefault="00C7483B" w:rsidP="00C7483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lang w:eastAsia="pt-BR"/>
        </w:rPr>
      </w:pPr>
      <w:hyperlink r:id="rId4" w:history="1">
        <w:r w:rsidRPr="00C7483B">
          <w:rPr>
            <w:rFonts w:ascii="Trebuchet MS" w:eastAsia="Times New Roman" w:hAnsi="Trebuchet MS" w:cs="Arial"/>
            <w:b/>
            <w:bCs/>
            <w:color w:val="000080"/>
            <w:u w:val="single"/>
            <w:lang w:eastAsia="pt-BR"/>
          </w:rPr>
          <w:t>LEI Nº 12.414, DE </w:t>
        </w:r>
        <w:proofErr w:type="gramStart"/>
        <w:r w:rsidRPr="00C7483B">
          <w:rPr>
            <w:rFonts w:ascii="Trebuchet MS" w:eastAsia="Times New Roman" w:hAnsi="Trebuchet MS" w:cs="Arial"/>
            <w:b/>
            <w:bCs/>
            <w:color w:val="000080"/>
            <w:u w:val="single"/>
            <w:lang w:eastAsia="pt-BR"/>
          </w:rPr>
          <w:t>9</w:t>
        </w:r>
        <w:proofErr w:type="gramEnd"/>
        <w:r w:rsidRPr="00C7483B">
          <w:rPr>
            <w:rFonts w:ascii="Trebuchet MS" w:eastAsia="Times New Roman" w:hAnsi="Trebuchet MS" w:cs="Arial"/>
            <w:b/>
            <w:bCs/>
            <w:color w:val="000080"/>
            <w:u w:val="single"/>
            <w:lang w:eastAsia="pt-BR"/>
          </w:rPr>
          <w:t xml:space="preserve"> DE JUNHO DE 2011</w:t>
        </w:r>
        <w:r w:rsidRPr="00C7483B">
          <w:rPr>
            <w:rFonts w:ascii="Trebuchet MS" w:eastAsia="Times New Roman" w:hAnsi="Trebuchet MS" w:cs="Arial"/>
            <w:b/>
            <w:bCs/>
            <w:color w:val="000080"/>
            <w:u w:val="single"/>
            <w:lang w:eastAsia="pt-BR"/>
          </w:rPr>
          <w:t>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97"/>
        <w:gridCol w:w="4507"/>
      </w:tblGrid>
      <w:tr w:rsidR="00C7483B" w:rsidRPr="00C7483B" w:rsidTr="00C7483B">
        <w:trPr>
          <w:tblCellSpacing w:w="0" w:type="dxa"/>
        </w:trPr>
        <w:tc>
          <w:tcPr>
            <w:tcW w:w="2350" w:type="pct"/>
            <w:vAlign w:val="center"/>
            <w:hideMark/>
          </w:tcPr>
          <w:p w:rsidR="00C7483B" w:rsidRPr="00C7483B" w:rsidRDefault="00C7483B" w:rsidP="00C7483B">
            <w:pPr>
              <w:spacing w:after="0" w:line="240" w:lineRule="auto"/>
              <w:rPr>
                <w:rFonts w:ascii="Trebuchet MS" w:eastAsia="Times New Roman" w:hAnsi="Trebuchet MS" w:cs="Times New Roman"/>
                <w:lang w:eastAsia="pt-BR"/>
              </w:rPr>
            </w:pPr>
            <w:hyperlink r:id="rId5" w:history="1">
              <w:r w:rsidRPr="00C7483B">
                <w:rPr>
                  <w:rFonts w:ascii="Trebuchet MS" w:eastAsia="Times New Roman" w:hAnsi="Trebuchet MS" w:cs="Arial"/>
                  <w:color w:val="0000FF"/>
                  <w:u w:val="single"/>
                  <w:lang w:eastAsia="pt-BR"/>
                </w:rPr>
                <w:t>Mensagem de veto</w:t>
              </w:r>
            </w:hyperlink>
            <w:r w:rsidRPr="00C7483B">
              <w:rPr>
                <w:rFonts w:ascii="Trebuchet MS" w:eastAsia="Times New Roman" w:hAnsi="Trebuchet MS" w:cs="Times New Roman"/>
                <w:lang w:eastAsia="pt-BR"/>
              </w:rPr>
              <w:t xml:space="preserve"> </w:t>
            </w:r>
          </w:p>
          <w:p w:rsidR="00C7483B" w:rsidRPr="00C7483B" w:rsidRDefault="00C7483B" w:rsidP="00C7483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lang w:eastAsia="pt-BR"/>
              </w:rPr>
            </w:pPr>
            <w:hyperlink r:id="rId6" w:history="1">
              <w:r w:rsidRPr="00C7483B">
                <w:rPr>
                  <w:rFonts w:ascii="Trebuchet MS" w:eastAsia="Times New Roman" w:hAnsi="Trebuchet MS" w:cs="Arial"/>
                  <w:color w:val="0000FF"/>
                  <w:u w:val="single"/>
                  <w:lang w:eastAsia="pt-BR"/>
                </w:rPr>
                <w:t xml:space="preserve">Conversão da Medida Provisória nº 518, de </w:t>
              </w:r>
              <w:proofErr w:type="gramStart"/>
              <w:r w:rsidRPr="00C7483B">
                <w:rPr>
                  <w:rFonts w:ascii="Trebuchet MS" w:eastAsia="Times New Roman" w:hAnsi="Trebuchet MS" w:cs="Arial"/>
                  <w:color w:val="0000FF"/>
                  <w:u w:val="single"/>
                  <w:lang w:eastAsia="pt-BR"/>
                </w:rPr>
                <w:t>2010.</w:t>
              </w:r>
              <w:proofErr w:type="gramEnd"/>
            </w:hyperlink>
            <w:r w:rsidRPr="00C7483B">
              <w:rPr>
                <w:rFonts w:ascii="Trebuchet MS" w:eastAsia="Times New Roman" w:hAnsi="Trebuchet MS" w:cs="Times New Roman"/>
                <w:lang w:eastAsia="pt-BR"/>
              </w:rPr>
              <w:t xml:space="preserve"> </w:t>
            </w:r>
          </w:p>
          <w:p w:rsidR="00C7483B" w:rsidRPr="00C7483B" w:rsidRDefault="00C7483B" w:rsidP="00C7483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lang w:eastAsia="pt-BR"/>
              </w:rPr>
            </w:pPr>
            <w:hyperlink r:id="rId7" w:history="1">
              <w:r w:rsidRPr="00C7483B">
                <w:rPr>
                  <w:rFonts w:ascii="Trebuchet MS" w:eastAsia="Times New Roman" w:hAnsi="Trebuchet MS" w:cs="Times New Roman"/>
                  <w:color w:val="0000FF"/>
                  <w:u w:val="single"/>
                  <w:lang w:eastAsia="pt-BR"/>
                </w:rPr>
                <w:t>Regulamento</w:t>
              </w:r>
            </w:hyperlink>
          </w:p>
        </w:tc>
        <w:tc>
          <w:tcPr>
            <w:tcW w:w="2650" w:type="pct"/>
            <w:vAlign w:val="center"/>
            <w:hideMark/>
          </w:tcPr>
          <w:p w:rsidR="00C7483B" w:rsidRPr="00C7483B" w:rsidRDefault="00C7483B" w:rsidP="00C7483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lang w:eastAsia="pt-BR"/>
              </w:rPr>
            </w:pPr>
            <w:r w:rsidRPr="00C7483B">
              <w:rPr>
                <w:rFonts w:ascii="Trebuchet MS" w:eastAsia="Times New Roman" w:hAnsi="Trebuchet MS" w:cs="Arial"/>
                <w:color w:val="800000"/>
                <w:lang w:eastAsia="pt-BR"/>
              </w:rPr>
              <w:t>Disciplina a formação e consulta a bancos de dados com informações de adimplemento, de pessoas naturais ou de pessoas jurídicas, para formação de histórico de crédito.</w:t>
            </w:r>
          </w:p>
        </w:tc>
      </w:tr>
    </w:tbl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Times New Roman"/>
          <w:lang w:eastAsia="pt-BR"/>
        </w:rPr>
      </w:pPr>
      <w:proofErr w:type="gramStart"/>
      <w:r w:rsidRPr="00C7483B">
        <w:rPr>
          <w:rFonts w:ascii="Trebuchet MS" w:eastAsia="Times New Roman" w:hAnsi="Trebuchet MS" w:cs="Times New Roman"/>
          <w:b/>
          <w:bCs/>
          <w:color w:val="000000"/>
          <w:lang w:eastAsia="pt-BR"/>
        </w:rPr>
        <w:t xml:space="preserve">A PRESIDENTA DA REPÚBLICA </w:t>
      </w:r>
      <w:r w:rsidRPr="00C7483B">
        <w:rPr>
          <w:rFonts w:ascii="Trebuchet MS" w:eastAsia="Times New Roman" w:hAnsi="Trebuchet MS" w:cs="Times New Roman"/>
          <w:color w:val="000000"/>
          <w:lang w:eastAsia="pt-BR"/>
        </w:rPr>
        <w:t>Faço</w:t>
      </w:r>
      <w:proofErr w:type="gramEnd"/>
      <w:r w:rsidRPr="00C7483B">
        <w:rPr>
          <w:rFonts w:ascii="Trebuchet MS" w:eastAsia="Times New Roman" w:hAnsi="Trebuchet MS" w:cs="Times New Roman"/>
          <w:color w:val="000000"/>
          <w:lang w:eastAsia="pt-BR"/>
        </w:rPr>
        <w:t xml:space="preserve"> saber que o Congresso Nacional decreta e eu sanciono a seguinte Lei: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b/>
          <w:color w:val="000000"/>
          <w:lang w:eastAsia="pt-BR"/>
        </w:rPr>
        <w:t>Art. 1</w:t>
      </w:r>
      <w:r w:rsidRPr="00C7483B">
        <w:rPr>
          <w:rFonts w:ascii="Trebuchet MS" w:eastAsia="Times New Roman" w:hAnsi="Trebuchet MS" w:cs="Arial"/>
          <w:b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  - Esta Lei disciplina a formação e consulta a bancos de dados com informações de adimplemento, de pessoas naturais ou de pessoas jurídicas, para formação de histórico de crédito, sem prejuízo do disposto na </w:t>
      </w:r>
      <w:hyperlink r:id="rId8" w:history="1">
        <w:r w:rsidRPr="00C7483B">
          <w:rPr>
            <w:rFonts w:ascii="Trebuchet MS" w:eastAsia="Times New Roman" w:hAnsi="Trebuchet MS" w:cs="Arial"/>
            <w:color w:val="0000FF"/>
            <w:u w:val="single"/>
            <w:lang w:eastAsia="pt-BR"/>
          </w:rPr>
          <w:t>Lei n</w:t>
        </w:r>
        <w:r w:rsidRPr="00C7483B">
          <w:rPr>
            <w:rFonts w:ascii="Trebuchet MS" w:eastAsia="Times New Roman" w:hAnsi="Trebuchet MS" w:cs="Arial"/>
            <w:color w:val="0000FF"/>
            <w:u w:val="single"/>
            <w:vertAlign w:val="superscript"/>
            <w:lang w:eastAsia="pt-BR"/>
          </w:rPr>
          <w:t>o</w:t>
        </w:r>
        <w:r w:rsidRPr="00C7483B">
          <w:rPr>
            <w:rFonts w:ascii="Trebuchet MS" w:eastAsia="Times New Roman" w:hAnsi="Trebuchet MS" w:cs="Arial"/>
            <w:color w:val="0000FF"/>
            <w:u w:val="single"/>
            <w:lang w:eastAsia="pt-BR"/>
          </w:rPr>
          <w:t xml:space="preserve"> 8.078, de 11 de setembro de </w:t>
        </w:r>
        <w:proofErr w:type="gramStart"/>
        <w:r w:rsidRPr="00C7483B">
          <w:rPr>
            <w:rFonts w:ascii="Trebuchet MS" w:eastAsia="Times New Roman" w:hAnsi="Trebuchet MS" w:cs="Arial"/>
            <w:color w:val="0000FF"/>
            <w:u w:val="single"/>
            <w:lang w:eastAsia="pt-BR"/>
          </w:rPr>
          <w:t>1990 - Código</w:t>
        </w:r>
        <w:proofErr w:type="gramEnd"/>
        <w:r w:rsidRPr="00C7483B">
          <w:rPr>
            <w:rFonts w:ascii="Trebuchet MS" w:eastAsia="Times New Roman" w:hAnsi="Trebuchet MS" w:cs="Arial"/>
            <w:color w:val="0000FF"/>
            <w:u w:val="single"/>
            <w:lang w:eastAsia="pt-BR"/>
          </w:rPr>
          <w:t xml:space="preserve"> de Proteção e Defesa do Consumidor</w:t>
        </w:r>
      </w:hyperlink>
      <w:r w:rsidRPr="00C7483B">
        <w:rPr>
          <w:rFonts w:ascii="Trebuchet MS" w:eastAsia="Times New Roman" w:hAnsi="Trebuchet MS" w:cs="Arial"/>
          <w:color w:val="000000"/>
          <w:lang w:eastAsia="pt-BR"/>
        </w:rPr>
        <w:t>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Parágrafo único.  Os bancos de dados instituídos ou mantidos por pessoas jurídicas de direito público interno serão regidos por legislação específica.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b/>
          <w:color w:val="000000"/>
          <w:lang w:eastAsia="pt-BR"/>
        </w:rPr>
        <w:t>Art. 2</w:t>
      </w:r>
      <w:r w:rsidRPr="00C7483B">
        <w:rPr>
          <w:rFonts w:ascii="Trebuchet MS" w:eastAsia="Times New Roman" w:hAnsi="Trebuchet MS" w:cs="Arial"/>
          <w:b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b/>
          <w:color w:val="000000"/>
          <w:lang w:eastAsia="pt-BR"/>
        </w:rPr>
        <w:t xml:space="preserve">  - 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Para os efeitos desta Lei, considera-se: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I - banco de dados: conjunto de dados relativo </w:t>
      </w:r>
      <w:proofErr w:type="gramStart"/>
      <w:r w:rsidRPr="00C7483B">
        <w:rPr>
          <w:rFonts w:ascii="Trebuchet MS" w:eastAsia="Times New Roman" w:hAnsi="Trebuchet MS" w:cs="Arial"/>
          <w:color w:val="000000"/>
          <w:lang w:eastAsia="pt-BR"/>
        </w:rPr>
        <w:t>a</w:t>
      </w:r>
      <w:proofErr w:type="gramEnd"/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 pessoa natural ou jurídica armazenados com a finalidade de subsidiar a concessão de crédito, a realização de venda a prazo ou de outras transações comerciais e empresariais que impliquem risco financeiro;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II - gestor: pessoa jurídica responsável pela administração de banco de dados, bem como pela coleta, armazenamento, análise e acesso de terceiros aos dados armazenados;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III - cadastrado: pessoa natural ou jurídica que tenha autorizado inclusão de suas informações no banco de dados;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IV - fonte: pessoa natural ou jurídica que conceda crédito ou realize venda a prazo ou outras transações comerciais e empresariais que lhe impliquem risco financeiro;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V - consulente: pessoa natural ou jurídica que acesse informações em bancos de dados para qualquer finalidade permitida por esta Lei;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VI - anotação: ação ou efeito de anotar, assinalar, averbar, incluir, inscrever ou registrar informação relativa ao histórico de crédito em banco de dados; </w:t>
      </w:r>
      <w:proofErr w:type="gramStart"/>
      <w:r w:rsidRPr="00C7483B">
        <w:rPr>
          <w:rFonts w:ascii="Trebuchet MS" w:eastAsia="Times New Roman" w:hAnsi="Trebuchet MS" w:cs="Arial"/>
          <w:color w:val="000000"/>
          <w:lang w:eastAsia="pt-BR"/>
        </w:rPr>
        <w:t>e</w:t>
      </w:r>
      <w:proofErr w:type="gramEnd"/>
      <w:r w:rsidRPr="00C7483B">
        <w:rPr>
          <w:rFonts w:ascii="Trebuchet MS" w:eastAsia="Times New Roman" w:hAnsi="Trebuchet MS" w:cs="Arial"/>
          <w:color w:val="000000"/>
          <w:lang w:eastAsia="pt-BR"/>
        </w:rPr>
        <w:t>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VII - histórico de crédito: conjunto de dados financeiros e de pagamentos relativos às operações de crédito e obrigações de pagamento adimplidas ou em andamento por pessoa natural ou jurídica.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b/>
          <w:color w:val="000000"/>
          <w:lang w:eastAsia="pt-BR"/>
        </w:rPr>
        <w:lastRenderedPageBreak/>
        <w:t>Art. 3</w:t>
      </w:r>
      <w:r w:rsidRPr="00C7483B">
        <w:rPr>
          <w:rFonts w:ascii="Trebuchet MS" w:eastAsia="Times New Roman" w:hAnsi="Trebuchet MS" w:cs="Arial"/>
          <w:b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  - Os bancos de dados poderão conter informações de adimplemento do cadastrado, para a formação do histórico de crédito, nas condições estabelecidas nesta Lei.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§ 1</w:t>
      </w:r>
      <w:r w:rsidRPr="00C7483B">
        <w:rPr>
          <w:rFonts w:ascii="Trebuchet MS" w:eastAsia="Times New Roman" w:hAnsi="Trebuchet MS" w:cs="Arial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  Para a formação do banco de dados, somente poderão ser armazenadas informações objetivas, claras, verdadeiras e de fácil compreensão, que sejam necessárias para avaliar a situação econômica do cadastrado.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§ 2</w:t>
      </w:r>
      <w:r w:rsidRPr="00C7483B">
        <w:rPr>
          <w:rFonts w:ascii="Trebuchet MS" w:eastAsia="Times New Roman" w:hAnsi="Trebuchet MS" w:cs="Arial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  Para os fins do disposto no § 1</w:t>
      </w:r>
      <w:r w:rsidRPr="00C7483B">
        <w:rPr>
          <w:rFonts w:ascii="Trebuchet MS" w:eastAsia="Times New Roman" w:hAnsi="Trebuchet MS" w:cs="Arial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, consideram-se informações: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I - objetivas: aquelas descritivas dos fatos e que não envolvam juízo de valor;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II - claras: aquelas que possibilitem o imediato entendimento do cadastrado independentemente de remissão a anexos, fórmulas, siglas, símbolos, termos técnicos ou nomenclatura específica;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III - verdadeiras: aquelas exatas, completas e sujeitas à comprovação nos termos desta Lei; </w:t>
      </w:r>
      <w:proofErr w:type="gramStart"/>
      <w:r w:rsidRPr="00C7483B">
        <w:rPr>
          <w:rFonts w:ascii="Trebuchet MS" w:eastAsia="Times New Roman" w:hAnsi="Trebuchet MS" w:cs="Arial"/>
          <w:color w:val="000000"/>
          <w:lang w:eastAsia="pt-BR"/>
        </w:rPr>
        <w:t>e</w:t>
      </w:r>
      <w:proofErr w:type="gramEnd"/>
      <w:r w:rsidRPr="00C7483B">
        <w:rPr>
          <w:rFonts w:ascii="Trebuchet MS" w:eastAsia="Times New Roman" w:hAnsi="Trebuchet MS" w:cs="Arial"/>
          <w:color w:val="000000"/>
          <w:lang w:eastAsia="pt-BR"/>
        </w:rPr>
        <w:t>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IV - de fácil compreensão: aquelas em sentido comum que assegurem ao cadastrado o pleno conhecimento do conteúdo, do sentido e do alcance dos dados sobre ele anotados.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§ 3</w:t>
      </w:r>
      <w:r w:rsidRPr="00C7483B">
        <w:rPr>
          <w:rFonts w:ascii="Trebuchet MS" w:eastAsia="Times New Roman" w:hAnsi="Trebuchet MS" w:cs="Arial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  Ficam proibidas as anotações de: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I - informações excessivas, assim consideradas aquelas que não estiverem vinculadas à análise de risco de crédito ao consumidor; </w:t>
      </w:r>
      <w:proofErr w:type="gramStart"/>
      <w:r w:rsidRPr="00C7483B">
        <w:rPr>
          <w:rFonts w:ascii="Trebuchet MS" w:eastAsia="Times New Roman" w:hAnsi="Trebuchet MS" w:cs="Arial"/>
          <w:color w:val="000000"/>
          <w:lang w:eastAsia="pt-BR"/>
        </w:rPr>
        <w:t>e</w:t>
      </w:r>
      <w:proofErr w:type="gramEnd"/>
      <w:r w:rsidRPr="00C7483B">
        <w:rPr>
          <w:rFonts w:ascii="Trebuchet MS" w:eastAsia="Times New Roman" w:hAnsi="Trebuchet MS" w:cs="Arial"/>
          <w:color w:val="000000"/>
          <w:lang w:eastAsia="pt-BR"/>
        </w:rPr>
        <w:t>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II - informações sensíveis, assim consideradas aquelas pertinentes à origem social e étnica, à saúde, à informação genética, à orientação sexual e às convicções políticas, religiosas e filosóficas.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bookmarkStart w:id="0" w:name="art4"/>
      <w:bookmarkEnd w:id="0"/>
      <w:r w:rsidRPr="00C7483B">
        <w:rPr>
          <w:rFonts w:ascii="Trebuchet MS" w:eastAsia="Times New Roman" w:hAnsi="Trebuchet MS" w:cs="Arial"/>
          <w:b/>
          <w:color w:val="000000"/>
          <w:lang w:eastAsia="pt-BR"/>
        </w:rPr>
        <w:t>Art. 4</w:t>
      </w:r>
      <w:r w:rsidRPr="00C7483B">
        <w:rPr>
          <w:rFonts w:ascii="Trebuchet MS" w:eastAsia="Times New Roman" w:hAnsi="Trebuchet MS" w:cs="Arial"/>
          <w:b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  - A abertura de cadastro requer autorização prévia do potencial cadastrado mediante consentimento informado por meio de assinatura em instrumento específico ou em cláusula apartada.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§ 1</w:t>
      </w:r>
      <w:r w:rsidRPr="00C7483B">
        <w:rPr>
          <w:rFonts w:ascii="Trebuchet MS" w:eastAsia="Times New Roman" w:hAnsi="Trebuchet MS" w:cs="Arial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  Após a abertura do cadastro, a anotação de informação em banco de dados independe de autorização e de comunicação ao cadastrado.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§ 2</w:t>
      </w:r>
      <w:r w:rsidRPr="00C7483B">
        <w:rPr>
          <w:rFonts w:ascii="Trebuchet MS" w:eastAsia="Times New Roman" w:hAnsi="Trebuchet MS" w:cs="Arial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  Atendido o disposto no caput</w:t>
      </w:r>
      <w:r w:rsidRPr="00C7483B">
        <w:rPr>
          <w:rFonts w:ascii="Trebuchet MS" w:eastAsia="Times New Roman" w:hAnsi="Trebuchet MS" w:cs="Arial"/>
          <w:i/>
          <w:iCs/>
          <w:color w:val="000000"/>
          <w:lang w:eastAsia="pt-BR"/>
        </w:rPr>
        <w:t>,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 as fontes ficam autorizadas, nas condições estabelecidas nesta Lei, a fornecer aos bancos de dados </w:t>
      </w:r>
      <w:proofErr w:type="gramStart"/>
      <w:r w:rsidRPr="00C7483B">
        <w:rPr>
          <w:rFonts w:ascii="Trebuchet MS" w:eastAsia="Times New Roman" w:hAnsi="Trebuchet MS" w:cs="Arial"/>
          <w:color w:val="000000"/>
          <w:lang w:eastAsia="pt-BR"/>
        </w:rPr>
        <w:t>as</w:t>
      </w:r>
      <w:proofErr w:type="gramEnd"/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 informações necessárias à formação do histórico das pessoas cadastradas.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          § 3</w:t>
      </w:r>
      <w:r w:rsidRPr="00C7483B">
        <w:rPr>
          <w:rFonts w:ascii="Trebuchet MS" w:eastAsia="Times New Roman" w:hAnsi="Trebuchet MS" w:cs="Arial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  </w:t>
      </w:r>
      <w:hyperlink r:id="rId9" w:history="1">
        <w:r w:rsidRPr="00C7483B">
          <w:rPr>
            <w:rFonts w:ascii="Trebuchet MS" w:eastAsia="Times New Roman" w:hAnsi="Trebuchet MS" w:cs="Arial"/>
            <w:color w:val="0000FF"/>
            <w:u w:val="single"/>
            <w:lang w:eastAsia="pt-BR"/>
          </w:rPr>
          <w:t>(VETADO)</w:t>
        </w:r>
      </w:hyperlink>
      <w:r w:rsidRPr="00C7483B">
        <w:rPr>
          <w:rFonts w:ascii="Trebuchet MS" w:eastAsia="Times New Roman" w:hAnsi="Trebuchet MS" w:cs="Arial"/>
          <w:color w:val="000000"/>
          <w:lang w:eastAsia="pt-BR"/>
        </w:rPr>
        <w:t>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b/>
          <w:color w:val="000000"/>
          <w:lang w:eastAsia="pt-BR"/>
        </w:rPr>
        <w:t>Art. 5</w:t>
      </w:r>
      <w:r w:rsidRPr="00C7483B">
        <w:rPr>
          <w:rFonts w:ascii="Trebuchet MS" w:eastAsia="Times New Roman" w:hAnsi="Trebuchet MS" w:cs="Arial"/>
          <w:b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  - São direitos do cadastrado: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I - obter o cancelamento do cadastro quando solicitado;</w:t>
      </w:r>
      <w:proofErr w:type="gramStart"/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 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proofErr w:type="gramEnd"/>
      <w:r w:rsidRPr="00C7483B">
        <w:rPr>
          <w:rFonts w:ascii="Trebuchet MS" w:eastAsia="Times New Roman" w:hAnsi="Trebuchet MS" w:cs="Arial"/>
          <w:color w:val="000000"/>
          <w:lang w:eastAsia="pt-BR"/>
        </w:rPr>
        <w:t>II - acessar gratuitamente as informações sobre ele existentes no banco de dados, inclusive o seu histórico, cabendo ao gestor manter sistemas seguros, por telefone ou por meio eletrônico, de consulta para informar as informações de adimplemento;</w:t>
      </w:r>
      <w:r w:rsidRPr="00C7483B">
        <w:rPr>
          <w:rFonts w:ascii="Trebuchet MS" w:eastAsia="Times New Roman" w:hAnsi="Trebuchet MS" w:cs="Arial"/>
          <w:i/>
          <w:iCs/>
          <w:color w:val="000000"/>
          <w:lang w:eastAsia="pt-BR"/>
        </w:rPr>
        <w:t>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III - solicitar impugnação de qualquer informação sobre ele erroneamente anotada em banco de dados e ter, em até </w:t>
      </w:r>
      <w:proofErr w:type="gramStart"/>
      <w:r w:rsidRPr="00C7483B">
        <w:rPr>
          <w:rFonts w:ascii="Trebuchet MS" w:eastAsia="Times New Roman" w:hAnsi="Trebuchet MS" w:cs="Arial"/>
          <w:color w:val="000000"/>
          <w:lang w:eastAsia="pt-BR"/>
        </w:rPr>
        <w:t>7</w:t>
      </w:r>
      <w:proofErr w:type="gramEnd"/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 (sete) dias, sua correção ou cancelamento e comunicação aos bancos de dados com os quais ele compartilhou a informação; </w:t>
      </w:r>
      <w:r w:rsidRPr="00C7483B">
        <w:rPr>
          <w:rFonts w:ascii="Trebuchet MS" w:eastAsia="Times New Roman" w:hAnsi="Trebuchet MS" w:cs="Arial"/>
          <w:i/>
          <w:iCs/>
          <w:color w:val="000000"/>
          <w:lang w:eastAsia="pt-BR"/>
        </w:rPr>
        <w:t>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IV - conhecer os principais elementos e critérios considerados para a análise de risco, resguardado o segredo empresarial;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V - ser informado previamente sobre o armazenamento, a identidade do gestor do banco de dados, o objetivo do tratamento dos dados pessoais e os destinatários dos dados em caso de compartilhamento;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VI - solicitar ao consulente a revisão de decisão realizada exclusivamente por meios automatizados; </w:t>
      </w:r>
      <w:proofErr w:type="gramStart"/>
      <w:r w:rsidRPr="00C7483B">
        <w:rPr>
          <w:rFonts w:ascii="Trebuchet MS" w:eastAsia="Times New Roman" w:hAnsi="Trebuchet MS" w:cs="Arial"/>
          <w:color w:val="000000"/>
          <w:lang w:eastAsia="pt-BR"/>
        </w:rPr>
        <w:t>e</w:t>
      </w:r>
      <w:proofErr w:type="gramEnd"/>
      <w:r w:rsidRPr="00C7483B">
        <w:rPr>
          <w:rFonts w:ascii="Trebuchet MS" w:eastAsia="Times New Roman" w:hAnsi="Trebuchet MS" w:cs="Arial"/>
          <w:color w:val="000000"/>
          <w:lang w:eastAsia="pt-BR"/>
        </w:rPr>
        <w:t>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VII - ter os seus dados pessoais utilizados somente de acordo com a finalidade para a qual eles foram coletados.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§ 1</w:t>
      </w:r>
      <w:r w:rsidRPr="00C7483B">
        <w:rPr>
          <w:rFonts w:ascii="Trebuchet MS" w:eastAsia="Times New Roman" w:hAnsi="Trebuchet MS" w:cs="Arial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  </w:t>
      </w:r>
      <w:hyperlink r:id="rId10" w:history="1">
        <w:r w:rsidRPr="00C7483B">
          <w:rPr>
            <w:rFonts w:ascii="Trebuchet MS" w:eastAsia="Times New Roman" w:hAnsi="Trebuchet MS" w:cs="Arial"/>
            <w:color w:val="0000FF"/>
            <w:u w:val="single"/>
            <w:lang w:eastAsia="pt-BR"/>
          </w:rPr>
          <w:t>(VETADO)</w:t>
        </w:r>
      </w:hyperlink>
      <w:r w:rsidRPr="00C7483B">
        <w:rPr>
          <w:rFonts w:ascii="Trebuchet MS" w:eastAsia="Times New Roman" w:hAnsi="Trebuchet MS" w:cs="Arial"/>
          <w:color w:val="000000"/>
          <w:lang w:eastAsia="pt-BR"/>
        </w:rPr>
        <w:t>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§ 2</w:t>
      </w:r>
      <w:r w:rsidRPr="00C7483B">
        <w:rPr>
          <w:rFonts w:ascii="Trebuchet MS" w:eastAsia="Times New Roman" w:hAnsi="Trebuchet MS" w:cs="Arial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  </w:t>
      </w:r>
      <w:hyperlink r:id="rId11" w:history="1">
        <w:r w:rsidRPr="00C7483B">
          <w:rPr>
            <w:rFonts w:ascii="Trebuchet MS" w:eastAsia="Times New Roman" w:hAnsi="Trebuchet MS" w:cs="Arial"/>
            <w:color w:val="0000FF"/>
            <w:u w:val="single"/>
            <w:lang w:eastAsia="pt-BR"/>
          </w:rPr>
          <w:t>(VETADO)</w:t>
        </w:r>
      </w:hyperlink>
      <w:r w:rsidRPr="00C7483B">
        <w:rPr>
          <w:rFonts w:ascii="Trebuchet MS" w:eastAsia="Times New Roman" w:hAnsi="Trebuchet MS" w:cs="Arial"/>
          <w:color w:val="000000"/>
          <w:lang w:eastAsia="pt-BR"/>
        </w:rPr>
        <w:t>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b/>
          <w:color w:val="000000"/>
          <w:lang w:eastAsia="pt-BR"/>
        </w:rPr>
        <w:t>Art. 6</w:t>
      </w:r>
      <w:r w:rsidRPr="00C7483B">
        <w:rPr>
          <w:rFonts w:ascii="Trebuchet MS" w:eastAsia="Times New Roman" w:hAnsi="Trebuchet MS" w:cs="Arial"/>
          <w:b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 -</w:t>
      </w:r>
      <w:proofErr w:type="gramStart"/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  </w:t>
      </w:r>
      <w:proofErr w:type="gramEnd"/>
      <w:r w:rsidRPr="00C7483B">
        <w:rPr>
          <w:rFonts w:ascii="Trebuchet MS" w:eastAsia="Times New Roman" w:hAnsi="Trebuchet MS" w:cs="Arial"/>
          <w:color w:val="000000"/>
          <w:lang w:eastAsia="pt-BR"/>
        </w:rPr>
        <w:t>Ficam os gestores de bancos de dados obrigados, quando solicitados, a fornecer ao cadastrado: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I - todas as informações sobre ele constantes de seus arquivos, no momento da solicitação;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II - indicação das fontes relativas às informações de que trata o inciso I, incluindo endereço e telefone para contato;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III - indicação dos gestores de bancos de dados com os quais as informações foram compartilhadas;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IV - indicação de todos os consulentes que tiveram acesso a qualquer informação sobre ele nos </w:t>
      </w:r>
      <w:proofErr w:type="gramStart"/>
      <w:r w:rsidRPr="00C7483B">
        <w:rPr>
          <w:rFonts w:ascii="Trebuchet MS" w:eastAsia="Times New Roman" w:hAnsi="Trebuchet MS" w:cs="Arial"/>
          <w:color w:val="000000"/>
          <w:lang w:eastAsia="pt-BR"/>
        </w:rPr>
        <w:t>6</w:t>
      </w:r>
      <w:proofErr w:type="gramEnd"/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 (seis) meses anteriores à solicitação; e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V - cópia de texto contendo sumário dos seus direitos, definidos em lei ou em normas infralegais pertinentes à sua relação com bancos de dados, bem como a lista dos órgãos governamentais aos quais poderá ele recorrer, caso considere que esses direitos foram infringidos.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§ 1</w:t>
      </w:r>
      <w:r w:rsidRPr="00C7483B">
        <w:rPr>
          <w:rFonts w:ascii="Trebuchet MS" w:eastAsia="Times New Roman" w:hAnsi="Trebuchet MS" w:cs="Arial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  É vedado aos gestores de bancos de dados estabelecerem políticas ou realizarem operações que impeçam, limitem ou dificultem o acesso do cadastrado previsto no inciso II do art. 5</w:t>
      </w:r>
      <w:r w:rsidRPr="00C7483B">
        <w:rPr>
          <w:rFonts w:ascii="Trebuchet MS" w:eastAsia="Times New Roman" w:hAnsi="Trebuchet MS" w:cs="Arial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§ 2</w:t>
      </w:r>
      <w:r w:rsidRPr="00C7483B">
        <w:rPr>
          <w:rFonts w:ascii="Trebuchet MS" w:eastAsia="Times New Roman" w:hAnsi="Trebuchet MS" w:cs="Arial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  O prazo para atendimento das informações estabelecidas nos incisos II, III, IV e V deste artigo será de </w:t>
      </w:r>
      <w:proofErr w:type="gramStart"/>
      <w:r w:rsidRPr="00C7483B">
        <w:rPr>
          <w:rFonts w:ascii="Trebuchet MS" w:eastAsia="Times New Roman" w:hAnsi="Trebuchet MS" w:cs="Arial"/>
          <w:color w:val="000000"/>
          <w:lang w:eastAsia="pt-BR"/>
        </w:rPr>
        <w:t>7</w:t>
      </w:r>
      <w:proofErr w:type="gramEnd"/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 (sete) dias.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b/>
          <w:color w:val="000000"/>
          <w:lang w:eastAsia="pt-BR"/>
        </w:rPr>
        <w:t>Art. 7</w:t>
      </w:r>
      <w:r w:rsidRPr="00C7483B">
        <w:rPr>
          <w:rFonts w:ascii="Trebuchet MS" w:eastAsia="Times New Roman" w:hAnsi="Trebuchet MS" w:cs="Arial"/>
          <w:b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 -</w:t>
      </w:r>
      <w:proofErr w:type="gramStart"/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  </w:t>
      </w:r>
      <w:proofErr w:type="gramEnd"/>
      <w:r w:rsidRPr="00C7483B">
        <w:rPr>
          <w:rFonts w:ascii="Trebuchet MS" w:eastAsia="Times New Roman" w:hAnsi="Trebuchet MS" w:cs="Arial"/>
          <w:color w:val="000000"/>
          <w:lang w:eastAsia="pt-BR"/>
        </w:rPr>
        <w:t>As informações disponibilizadas nos bancos de dados somente poderão ser utilizadas para: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I - realização de análise de risco de crédito do cadastrado; </w:t>
      </w:r>
      <w:proofErr w:type="gramStart"/>
      <w:r w:rsidRPr="00C7483B">
        <w:rPr>
          <w:rFonts w:ascii="Trebuchet MS" w:eastAsia="Times New Roman" w:hAnsi="Trebuchet MS" w:cs="Arial"/>
          <w:color w:val="000000"/>
          <w:lang w:eastAsia="pt-BR"/>
        </w:rPr>
        <w:t>ou</w:t>
      </w:r>
      <w:proofErr w:type="gramEnd"/>
      <w:r w:rsidRPr="00C7483B">
        <w:rPr>
          <w:rFonts w:ascii="Trebuchet MS" w:eastAsia="Times New Roman" w:hAnsi="Trebuchet MS" w:cs="Arial"/>
          <w:color w:val="000000"/>
          <w:lang w:eastAsia="pt-BR"/>
        </w:rPr>
        <w:t>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II - subsidiar a concessão ou extensão de crédito e a realização de venda a prazo ou outras transações comerciais e empresariais que impliquem risco financeiro ao consulente.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Parágrafo único.  Cabe ao gestor manter sistemas seguros, por telefone ou por meio eletrônico, de consulta para informar aos consulentes as informações de adimplemento do cadastrado.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b/>
          <w:color w:val="000000"/>
          <w:lang w:eastAsia="pt-BR"/>
        </w:rPr>
        <w:t>Art. 8</w:t>
      </w:r>
      <w:r w:rsidRPr="00C7483B">
        <w:rPr>
          <w:rFonts w:ascii="Trebuchet MS" w:eastAsia="Times New Roman" w:hAnsi="Trebuchet MS" w:cs="Arial"/>
          <w:b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 -</w:t>
      </w:r>
      <w:proofErr w:type="gramStart"/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  </w:t>
      </w:r>
      <w:proofErr w:type="gramEnd"/>
      <w:r w:rsidRPr="00C7483B">
        <w:rPr>
          <w:rFonts w:ascii="Trebuchet MS" w:eastAsia="Times New Roman" w:hAnsi="Trebuchet MS" w:cs="Arial"/>
          <w:color w:val="000000"/>
          <w:lang w:eastAsia="pt-BR"/>
        </w:rPr>
        <w:t>São obrigações das fontes: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I - manter os registros adequados para demonstrar que a pessoa natural ou jurídica autorizou o envio e a anotação de informações em bancos de dados;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II - comunicar os gestores de bancos de dados acerca de eventual exclusão ou revogação de autorização do cadastrado;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III - verificar e confirmar, ou corrigir, em prazo não superior a </w:t>
      </w:r>
      <w:proofErr w:type="gramStart"/>
      <w:r w:rsidRPr="00C7483B">
        <w:rPr>
          <w:rFonts w:ascii="Trebuchet MS" w:eastAsia="Times New Roman" w:hAnsi="Trebuchet MS" w:cs="Arial"/>
          <w:color w:val="000000"/>
          <w:lang w:eastAsia="pt-BR"/>
        </w:rPr>
        <w:t>2</w:t>
      </w:r>
      <w:proofErr w:type="gramEnd"/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 (dois) dias úteis, informação impugnada, sempre que solicitado por gestor de banco de dados ou diretamente pelo cadastrado;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IV - atualizar e corrigir informações enviadas aos gestores de bancos de dados, em prazo não superior a </w:t>
      </w:r>
      <w:proofErr w:type="gramStart"/>
      <w:r w:rsidRPr="00C7483B">
        <w:rPr>
          <w:rFonts w:ascii="Trebuchet MS" w:eastAsia="Times New Roman" w:hAnsi="Trebuchet MS" w:cs="Arial"/>
          <w:color w:val="000000"/>
          <w:lang w:eastAsia="pt-BR"/>
        </w:rPr>
        <w:t>7</w:t>
      </w:r>
      <w:proofErr w:type="gramEnd"/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 (sete) dias;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V - manter os registros adequados para verificar informações enviadas aos gestores de bancos de dados; </w:t>
      </w:r>
      <w:proofErr w:type="gramStart"/>
      <w:r w:rsidRPr="00C7483B">
        <w:rPr>
          <w:rFonts w:ascii="Trebuchet MS" w:eastAsia="Times New Roman" w:hAnsi="Trebuchet MS" w:cs="Arial"/>
          <w:color w:val="000000"/>
          <w:lang w:eastAsia="pt-BR"/>
        </w:rPr>
        <w:t>e</w:t>
      </w:r>
      <w:proofErr w:type="gramEnd"/>
      <w:r w:rsidRPr="00C7483B">
        <w:rPr>
          <w:rFonts w:ascii="Trebuchet MS" w:eastAsia="Times New Roman" w:hAnsi="Trebuchet MS" w:cs="Arial"/>
          <w:color w:val="000000"/>
          <w:lang w:eastAsia="pt-BR"/>
        </w:rPr>
        <w:t>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VI - fornecer informações sobre o cadastrado, em bases não discriminatórias, a todos os gestores de bancos de dados que as solicitarem, no mesmo formato e contendo as mesmas informações fornecidas a outros bancos de dados.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Parágrafo único.  É vedado às fontes estabelecerem políticas ou realizarem operações que impeçam, limitem ou dificultem a transmissão a banco de dados de informações de cadastrados que tenham autorizado </w:t>
      </w:r>
      <w:proofErr w:type="gramStart"/>
      <w:r w:rsidRPr="00C7483B">
        <w:rPr>
          <w:rFonts w:ascii="Trebuchet MS" w:eastAsia="Times New Roman" w:hAnsi="Trebuchet MS" w:cs="Arial"/>
          <w:color w:val="000000"/>
          <w:lang w:eastAsia="pt-BR"/>
        </w:rPr>
        <w:t>a</w:t>
      </w:r>
      <w:proofErr w:type="gramEnd"/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 anotação de seus dados em bancos de dados.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bookmarkStart w:id="1" w:name="art9"/>
      <w:bookmarkEnd w:id="1"/>
      <w:r w:rsidRPr="00C7483B">
        <w:rPr>
          <w:rFonts w:ascii="Trebuchet MS" w:eastAsia="Times New Roman" w:hAnsi="Trebuchet MS" w:cs="Arial"/>
          <w:b/>
          <w:color w:val="000000"/>
          <w:lang w:eastAsia="pt-BR"/>
        </w:rPr>
        <w:t>Art. 9</w:t>
      </w:r>
      <w:r w:rsidRPr="00C7483B">
        <w:rPr>
          <w:rFonts w:ascii="Trebuchet MS" w:eastAsia="Times New Roman" w:hAnsi="Trebuchet MS" w:cs="Arial"/>
          <w:b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 -</w:t>
      </w:r>
      <w:proofErr w:type="gramStart"/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  </w:t>
      </w:r>
      <w:proofErr w:type="gramEnd"/>
      <w:r w:rsidRPr="00C7483B">
        <w:rPr>
          <w:rFonts w:ascii="Trebuchet MS" w:eastAsia="Times New Roman" w:hAnsi="Trebuchet MS" w:cs="Arial"/>
          <w:color w:val="000000"/>
          <w:lang w:eastAsia="pt-BR"/>
        </w:rPr>
        <w:t>O compartilhamento de informação de adimplemento só é permitido se autorizado expressamente pelo cadastrado, por meio de assinatura em instrumento específico ou em cláusula apartada.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§ 1</w:t>
      </w:r>
      <w:r w:rsidRPr="00C7483B">
        <w:rPr>
          <w:rFonts w:ascii="Trebuchet MS" w:eastAsia="Times New Roman" w:hAnsi="Trebuchet MS" w:cs="Arial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  O gestor que receber informações por meio de compartilhamento equipara-se, para todos os efeitos desta Lei, ao gestor que anotou originariamente a informação, inclusive quanto à responsabilidade solidária por eventuais prejuízos causados e ao dever de receber e processar impugnação e realizar retificações.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§ 2</w:t>
      </w:r>
      <w:r w:rsidRPr="00C7483B">
        <w:rPr>
          <w:rFonts w:ascii="Trebuchet MS" w:eastAsia="Times New Roman" w:hAnsi="Trebuchet MS" w:cs="Arial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  O gestor originário é responsável por manter atualizadas as informações cadastrais nos demais bancos de dados com os quais compartilhou informações, bem como por informar a solicitação de cancelamento do cadastro, sem quaisquer ônus para o cadastrado.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§ 3</w:t>
      </w:r>
      <w:r w:rsidRPr="00C7483B">
        <w:rPr>
          <w:rFonts w:ascii="Trebuchet MS" w:eastAsia="Times New Roman" w:hAnsi="Trebuchet MS" w:cs="Arial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  O cancelamento do cadastro pelo gestor originário implica o cancelamento do cadastro em todos os bancos de dados que compartilharam informações, que ficam obrigados a proceder, individualmente, ao respectivo cancelamento nos termos desta Lei.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§ 4</w:t>
      </w:r>
      <w:r w:rsidRPr="00C7483B">
        <w:rPr>
          <w:rFonts w:ascii="Trebuchet MS" w:eastAsia="Times New Roman" w:hAnsi="Trebuchet MS" w:cs="Arial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  O gestor deverá assegurar, </w:t>
      </w:r>
      <w:proofErr w:type="gramStart"/>
      <w:r w:rsidRPr="00C7483B">
        <w:rPr>
          <w:rFonts w:ascii="Trebuchet MS" w:eastAsia="Times New Roman" w:hAnsi="Trebuchet MS" w:cs="Arial"/>
          <w:color w:val="000000"/>
          <w:lang w:eastAsia="pt-BR"/>
        </w:rPr>
        <w:t>sob pena</w:t>
      </w:r>
      <w:proofErr w:type="gramEnd"/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 de responsabilidade, a identificação da pessoa que promover qualquer inscrição ou atualização de dados relacionados com o cadastrado, registrando a data desta ocorrência, bem como a identificação exata da fonte, do nome do agente que a efetuou e do equipamento ou terminal a partir do qual foi processada tal ocorrência.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bookmarkStart w:id="2" w:name="art10"/>
      <w:bookmarkEnd w:id="2"/>
      <w:r w:rsidRPr="00C7483B">
        <w:rPr>
          <w:rFonts w:ascii="Trebuchet MS" w:eastAsia="Times New Roman" w:hAnsi="Trebuchet MS" w:cs="Arial"/>
          <w:b/>
          <w:color w:val="000000"/>
          <w:lang w:eastAsia="pt-BR"/>
        </w:rPr>
        <w:t>Art. 10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.  É proibido ao gestor exigir exclusividade das fontes de informações.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bookmarkStart w:id="3" w:name="art11"/>
      <w:bookmarkEnd w:id="3"/>
      <w:r w:rsidRPr="00C7483B">
        <w:rPr>
          <w:rFonts w:ascii="Trebuchet MS" w:eastAsia="Times New Roman" w:hAnsi="Trebuchet MS" w:cs="Arial"/>
          <w:b/>
          <w:color w:val="000000"/>
          <w:lang w:eastAsia="pt-BR"/>
        </w:rPr>
        <w:t>Art. 11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.  Desde que autorizados pelo cadastrado, os prestadores de serviços continuados de água, esgoto, eletricidade, gás e telecomunicações, dentre outros, poderão fornecer aos bancos de dados indicados, na forma do regulamento, informação sobre o adimplemento das obrigações financeiras do cadastrado.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Parágrafo único.  É vedada a anotação de informação sobre serviço de telefonia móvel na modalidade pós-paga. 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b/>
          <w:color w:val="000000"/>
          <w:lang w:eastAsia="pt-BR"/>
        </w:rPr>
        <w:t>Art. 12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.  Quando solicitado pelo cliente, </w:t>
      </w:r>
      <w:proofErr w:type="gramStart"/>
      <w:r w:rsidRPr="00C7483B">
        <w:rPr>
          <w:rFonts w:ascii="Trebuchet MS" w:eastAsia="Times New Roman" w:hAnsi="Trebuchet MS" w:cs="Arial"/>
          <w:color w:val="000000"/>
          <w:lang w:eastAsia="pt-BR"/>
        </w:rPr>
        <w:t>as</w:t>
      </w:r>
      <w:proofErr w:type="gramEnd"/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 instituições autorizadas a funcionar pelo Banco Central do Brasil fornecerão aos bancos de dados indicados as informações relativas às suas operações de crédito.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§ 1</w:t>
      </w:r>
      <w:r w:rsidRPr="00C7483B">
        <w:rPr>
          <w:rFonts w:ascii="Trebuchet MS" w:eastAsia="Times New Roman" w:hAnsi="Trebuchet MS" w:cs="Arial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  As informações referidas no caput devem compreender somente o histórico das operações de empréstimo e de financiamento realizadas pelo cliente.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§ 2</w:t>
      </w:r>
      <w:r w:rsidRPr="00C7483B">
        <w:rPr>
          <w:rFonts w:ascii="Trebuchet MS" w:eastAsia="Times New Roman" w:hAnsi="Trebuchet MS" w:cs="Arial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  É proibido às instituições autorizadas a funcionar pelo Banco Central do Brasil estabelecer políticas ou realizar operações que impeçam, limitem ou dificultem a transmissão das informações bancárias de seu cliente a bancos de dados, quando por </w:t>
      </w:r>
      <w:proofErr w:type="gramStart"/>
      <w:r w:rsidRPr="00C7483B">
        <w:rPr>
          <w:rFonts w:ascii="Trebuchet MS" w:eastAsia="Times New Roman" w:hAnsi="Trebuchet MS" w:cs="Arial"/>
          <w:color w:val="000000"/>
          <w:lang w:eastAsia="pt-BR"/>
        </w:rPr>
        <w:t>este autorizadas</w:t>
      </w:r>
      <w:proofErr w:type="gramEnd"/>
      <w:r w:rsidRPr="00C7483B">
        <w:rPr>
          <w:rFonts w:ascii="Trebuchet MS" w:eastAsia="Times New Roman" w:hAnsi="Trebuchet MS" w:cs="Arial"/>
          <w:color w:val="000000"/>
          <w:lang w:eastAsia="pt-BR"/>
        </w:rPr>
        <w:t>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§ 3</w:t>
      </w:r>
      <w:r w:rsidRPr="00C7483B">
        <w:rPr>
          <w:rFonts w:ascii="Trebuchet MS" w:eastAsia="Times New Roman" w:hAnsi="Trebuchet MS" w:cs="Arial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  O Conselho Monetário Nacional adotará as medidas e normas complementares necessárias para a aplicação do disposto neste artigo.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b/>
          <w:color w:val="000000"/>
          <w:lang w:eastAsia="pt-BR"/>
        </w:rPr>
        <w:t>Art. 13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.  O Poder Executivo regulamentará o disposto nesta Lei, em especial quanto ao uso, </w:t>
      </w:r>
      <w:proofErr w:type="gramStart"/>
      <w:r w:rsidRPr="00C7483B">
        <w:rPr>
          <w:rFonts w:ascii="Trebuchet MS" w:eastAsia="Times New Roman" w:hAnsi="Trebuchet MS" w:cs="Arial"/>
          <w:color w:val="000000"/>
          <w:lang w:eastAsia="pt-BR"/>
        </w:rPr>
        <w:t>guarda,</w:t>
      </w:r>
      <w:proofErr w:type="gramEnd"/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 escopo e compartilhamento das informações recebidas por bancos de dados e quanto ao disposto no art. 5</w:t>
      </w:r>
      <w:r w:rsidRPr="00C7483B">
        <w:rPr>
          <w:rFonts w:ascii="Trebuchet MS" w:eastAsia="Times New Roman" w:hAnsi="Trebuchet MS" w:cs="Arial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b/>
          <w:color w:val="000000"/>
          <w:lang w:eastAsia="pt-BR"/>
        </w:rPr>
        <w:t>Art. 14.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  As informações de adimplemento não poderão constar de bancos de dados por período superior a 15 (quinze) anos.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b/>
          <w:color w:val="000000"/>
          <w:lang w:eastAsia="pt-BR"/>
        </w:rPr>
        <w:t>Art. 15.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  As informações sobre o cadastrado constantes dos bancos de dados somente poderão ser acessadas por consulentes que com ele mantiverem ou pretenderem manter relação comercial ou creditícia.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b/>
          <w:color w:val="000000"/>
          <w:lang w:eastAsia="pt-BR"/>
        </w:rPr>
        <w:t>Art. 16.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  O banco de dados, a fonte e o consulente são responsáveis objetiva e solidariamente pelos danos materiais e morais que causarem ao cadastrado.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b/>
          <w:color w:val="000000"/>
          <w:lang w:eastAsia="pt-BR"/>
        </w:rPr>
        <w:t>Art. 17.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  Nas situações em que o cadastrado for consumidor, caracterizado conforme a </w:t>
      </w:r>
      <w:hyperlink r:id="rId12" w:history="1">
        <w:r w:rsidRPr="00C7483B">
          <w:rPr>
            <w:rFonts w:ascii="Trebuchet MS" w:eastAsia="Times New Roman" w:hAnsi="Trebuchet MS" w:cs="Arial"/>
            <w:color w:val="0000FF"/>
            <w:u w:val="single"/>
            <w:lang w:eastAsia="pt-BR"/>
          </w:rPr>
          <w:t xml:space="preserve">Lei nº 8.078, de 11 de setembro de </w:t>
        </w:r>
        <w:proofErr w:type="gramStart"/>
        <w:r w:rsidRPr="00C7483B">
          <w:rPr>
            <w:rFonts w:ascii="Trebuchet MS" w:eastAsia="Times New Roman" w:hAnsi="Trebuchet MS" w:cs="Arial"/>
            <w:color w:val="0000FF"/>
            <w:u w:val="single"/>
            <w:lang w:eastAsia="pt-BR"/>
          </w:rPr>
          <w:t>1990 - Código</w:t>
        </w:r>
        <w:proofErr w:type="gramEnd"/>
        <w:r w:rsidRPr="00C7483B">
          <w:rPr>
            <w:rFonts w:ascii="Trebuchet MS" w:eastAsia="Times New Roman" w:hAnsi="Trebuchet MS" w:cs="Arial"/>
            <w:color w:val="0000FF"/>
            <w:u w:val="single"/>
            <w:lang w:eastAsia="pt-BR"/>
          </w:rPr>
          <w:t xml:space="preserve"> de Proteção e Defesa do Consumidor</w:t>
        </w:r>
      </w:hyperlink>
      <w:r w:rsidRPr="00C7483B">
        <w:rPr>
          <w:rFonts w:ascii="Trebuchet MS" w:eastAsia="Times New Roman" w:hAnsi="Trebuchet MS" w:cs="Arial"/>
          <w:color w:val="000000"/>
          <w:lang w:eastAsia="pt-BR"/>
        </w:rPr>
        <w:t>, aplicam-se as sanções e penas nela previstas e o disposto no § 2</w:t>
      </w:r>
      <w:r w:rsidRPr="00C7483B">
        <w:rPr>
          <w:rFonts w:ascii="Trebuchet MS" w:eastAsia="Times New Roman" w:hAnsi="Trebuchet MS" w:cs="Arial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§ 1</w:t>
      </w:r>
      <w:r w:rsidRPr="00C7483B">
        <w:rPr>
          <w:rFonts w:ascii="Trebuchet MS" w:eastAsia="Times New Roman" w:hAnsi="Trebuchet MS" w:cs="Arial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  Nos casos previstos no caput, a fiscalização e a aplicação das sanções serão exercidas concorrentemente pelos órgãos de proteção e defesa do consumidor da União, dos Estados, do Distrito Federal e dos Municípios, nas respectivas áreas de atuação administrativa.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000000"/>
          <w:lang w:eastAsia="pt-BR"/>
        </w:rPr>
        <w:t>§ 2</w:t>
      </w:r>
      <w:r w:rsidRPr="00C7483B">
        <w:rPr>
          <w:rFonts w:ascii="Trebuchet MS" w:eastAsia="Times New Roman" w:hAnsi="Trebuchet MS" w:cs="Arial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>  Sem prejuízo do disposto no caput e no § 1</w:t>
      </w:r>
      <w:r w:rsidRPr="00C7483B">
        <w:rPr>
          <w:rFonts w:ascii="Trebuchet MS" w:eastAsia="Times New Roman" w:hAnsi="Trebuchet MS" w:cs="Arial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, os órgãos de proteção e defesa do consumidor poderão aplicar medidas corretivas, estabelecendo aos bancos de dados que descumprirem o previsto nesta Lei obrigações de fazer com que sejam excluídas do cadastro, no prazo de </w:t>
      </w:r>
      <w:proofErr w:type="gramStart"/>
      <w:r w:rsidRPr="00C7483B">
        <w:rPr>
          <w:rFonts w:ascii="Trebuchet MS" w:eastAsia="Times New Roman" w:hAnsi="Trebuchet MS" w:cs="Arial"/>
          <w:color w:val="000000"/>
          <w:lang w:eastAsia="pt-BR"/>
        </w:rPr>
        <w:t>7</w:t>
      </w:r>
      <w:proofErr w:type="gramEnd"/>
      <w:r w:rsidRPr="00C7483B">
        <w:rPr>
          <w:rFonts w:ascii="Trebuchet MS" w:eastAsia="Times New Roman" w:hAnsi="Trebuchet MS" w:cs="Arial"/>
          <w:color w:val="000000"/>
          <w:lang w:eastAsia="pt-BR"/>
        </w:rPr>
        <w:t xml:space="preserve"> (sete) dias, informações incorretas, bem como cancelados cadastros de pessoas que não autorizaram a abertura.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Times New Roman"/>
          <w:lang w:eastAsia="pt-BR"/>
        </w:rPr>
      </w:pPr>
      <w:r w:rsidRPr="00C7483B">
        <w:rPr>
          <w:rFonts w:ascii="Trebuchet MS" w:eastAsia="Times New Roman" w:hAnsi="Trebuchet MS" w:cs="Times New Roman"/>
          <w:b/>
          <w:color w:val="000000"/>
          <w:lang w:eastAsia="pt-BR"/>
        </w:rPr>
        <w:t>Art. 18</w:t>
      </w:r>
      <w:r w:rsidRPr="00C7483B">
        <w:rPr>
          <w:rFonts w:ascii="Trebuchet MS" w:eastAsia="Times New Roman" w:hAnsi="Trebuchet MS" w:cs="Times New Roman"/>
          <w:color w:val="000000"/>
          <w:lang w:eastAsia="pt-BR"/>
        </w:rPr>
        <w:t>.  Esta Lei entra em vigor na data de sua publicação. </w:t>
      </w:r>
      <w:proofErr w:type="gramStart"/>
      <w:r w:rsidRPr="00C7483B">
        <w:rPr>
          <w:rFonts w:ascii="Trebuchet MS" w:eastAsia="Times New Roman" w:hAnsi="Trebuchet MS" w:cs="Times New Roman"/>
          <w:color w:val="000000"/>
          <w:lang w:eastAsia="pt-BR"/>
        </w:rPr>
        <w:t>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ind w:firstLine="380"/>
        <w:jc w:val="both"/>
        <w:rPr>
          <w:rFonts w:ascii="Trebuchet MS" w:eastAsia="Times New Roman" w:hAnsi="Trebuchet MS" w:cs="Times New Roman"/>
          <w:lang w:eastAsia="pt-BR"/>
        </w:rPr>
      </w:pPr>
      <w:proofErr w:type="gramEnd"/>
      <w:r w:rsidRPr="00C7483B">
        <w:rPr>
          <w:rFonts w:ascii="Trebuchet MS" w:eastAsia="Times New Roman" w:hAnsi="Trebuchet MS" w:cs="Times New Roman"/>
          <w:color w:val="000000"/>
          <w:lang w:eastAsia="pt-BR"/>
        </w:rPr>
        <w:t xml:space="preserve">Brasília, </w:t>
      </w:r>
      <w:proofErr w:type="gramStart"/>
      <w:r w:rsidRPr="00C7483B">
        <w:rPr>
          <w:rFonts w:ascii="Trebuchet MS" w:eastAsia="Times New Roman" w:hAnsi="Trebuchet MS" w:cs="Times New Roman"/>
          <w:color w:val="000000"/>
          <w:lang w:eastAsia="pt-BR"/>
        </w:rPr>
        <w:t>9</w:t>
      </w:r>
      <w:proofErr w:type="gramEnd"/>
      <w:r w:rsidRPr="00C7483B">
        <w:rPr>
          <w:rFonts w:ascii="Trebuchet MS" w:eastAsia="Times New Roman" w:hAnsi="Trebuchet MS" w:cs="Times New Roman"/>
          <w:color w:val="000000"/>
          <w:lang w:eastAsia="pt-BR"/>
        </w:rPr>
        <w:t xml:space="preserve"> de junho de 2011; 190</w:t>
      </w:r>
      <w:r w:rsidRPr="00C7483B">
        <w:rPr>
          <w:rFonts w:ascii="Trebuchet MS" w:eastAsia="Times New Roman" w:hAnsi="Trebuchet MS" w:cs="Times New Roman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Times New Roman"/>
          <w:color w:val="000000"/>
          <w:lang w:eastAsia="pt-BR"/>
        </w:rPr>
        <w:t xml:space="preserve"> da Independência e 123</w:t>
      </w:r>
      <w:r w:rsidRPr="00C7483B">
        <w:rPr>
          <w:rFonts w:ascii="Trebuchet MS" w:eastAsia="Times New Roman" w:hAnsi="Trebuchet MS" w:cs="Times New Roman"/>
          <w:color w:val="000000"/>
          <w:u w:val="single"/>
          <w:vertAlign w:val="superscript"/>
          <w:lang w:eastAsia="pt-BR"/>
        </w:rPr>
        <w:t>o</w:t>
      </w:r>
      <w:r w:rsidRPr="00C7483B">
        <w:rPr>
          <w:rFonts w:ascii="Trebuchet MS" w:eastAsia="Times New Roman" w:hAnsi="Trebuchet MS" w:cs="Times New Roman"/>
          <w:color w:val="000000"/>
          <w:lang w:eastAsia="pt-BR"/>
        </w:rPr>
        <w:t xml:space="preserve"> da República. </w:t>
      </w:r>
    </w:p>
    <w:p w:rsidR="00C7483B" w:rsidRPr="00C7483B" w:rsidRDefault="00C7483B" w:rsidP="00C7483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pt-BR"/>
        </w:rPr>
      </w:pPr>
      <w:r w:rsidRPr="00C7483B">
        <w:rPr>
          <w:rFonts w:ascii="Trebuchet MS" w:eastAsia="Times New Roman" w:hAnsi="Trebuchet MS" w:cs="Times New Roman"/>
          <w:color w:val="000000"/>
          <w:lang w:eastAsia="pt-BR"/>
        </w:rPr>
        <w:t>DILMA ROUSSEFF</w:t>
      </w:r>
      <w:r w:rsidRPr="00C7483B">
        <w:rPr>
          <w:rFonts w:ascii="Trebuchet MS" w:eastAsia="Times New Roman" w:hAnsi="Trebuchet MS" w:cs="Times New Roman"/>
          <w:color w:val="000000"/>
          <w:lang w:eastAsia="pt-BR"/>
        </w:rPr>
        <w:br/>
      </w:r>
      <w:r w:rsidRPr="00C7483B">
        <w:rPr>
          <w:rFonts w:ascii="Trebuchet MS" w:eastAsia="Times New Roman" w:hAnsi="Trebuchet MS" w:cs="Times New Roman"/>
          <w:i/>
          <w:iCs/>
          <w:color w:val="000000"/>
          <w:lang w:eastAsia="pt-BR"/>
        </w:rPr>
        <w:t>José Eduardo Cardozo</w:t>
      </w:r>
      <w:r w:rsidRPr="00C7483B">
        <w:rPr>
          <w:rFonts w:ascii="Trebuchet MS" w:eastAsia="Times New Roman" w:hAnsi="Trebuchet MS" w:cs="Times New Roman"/>
          <w:i/>
          <w:iCs/>
          <w:color w:val="000000"/>
          <w:lang w:eastAsia="pt-BR"/>
        </w:rPr>
        <w:br/>
        <w:t xml:space="preserve">Guido </w:t>
      </w:r>
      <w:proofErr w:type="spellStart"/>
      <w:r w:rsidRPr="00C7483B">
        <w:rPr>
          <w:rFonts w:ascii="Trebuchet MS" w:eastAsia="Times New Roman" w:hAnsi="Trebuchet MS" w:cs="Times New Roman"/>
          <w:i/>
          <w:iCs/>
          <w:color w:val="000000"/>
          <w:lang w:eastAsia="pt-BR"/>
        </w:rPr>
        <w:t>Mantega</w:t>
      </w:r>
      <w:proofErr w:type="spellEnd"/>
    </w:p>
    <w:p w:rsidR="00C7483B" w:rsidRPr="00C7483B" w:rsidRDefault="00C7483B" w:rsidP="00C7483B">
      <w:pPr>
        <w:spacing w:before="200" w:line="240" w:lineRule="auto"/>
        <w:rPr>
          <w:rFonts w:ascii="Trebuchet MS" w:eastAsia="Times New Roman" w:hAnsi="Trebuchet MS" w:cs="Arial"/>
          <w:lang w:eastAsia="pt-BR"/>
        </w:rPr>
      </w:pPr>
      <w:r w:rsidRPr="00C7483B">
        <w:rPr>
          <w:rFonts w:ascii="Trebuchet MS" w:eastAsia="Times New Roman" w:hAnsi="Trebuchet MS" w:cs="Arial"/>
          <w:color w:val="FF0000"/>
          <w:lang w:eastAsia="pt-BR"/>
        </w:rPr>
        <w:t xml:space="preserve">Este texto não substitui o publicado no DOU de 10.6.2011 </w:t>
      </w:r>
    </w:p>
    <w:p w:rsidR="00B21A15" w:rsidRDefault="00B21A15"/>
    <w:sectPr w:rsidR="00B21A15" w:rsidSect="00B21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7483B"/>
    <w:rsid w:val="00B21A15"/>
    <w:rsid w:val="00C7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48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483B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7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748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C7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078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_Ato2011-2014/2012/Decreto/D7829.htm" TargetMode="External"/><Relationship Id="rId12" Type="http://schemas.openxmlformats.org/officeDocument/2006/relationships/hyperlink" Target="http://www.planalto.gov.br/ccivil_03/LEIS/L807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7-2010/2010/Mpv/518.htm" TargetMode="External"/><Relationship Id="rId11" Type="http://schemas.openxmlformats.org/officeDocument/2006/relationships/hyperlink" Target="http://www.planalto.gov.br/ccivil_03/_Ato2011-2014/2011/Msg/VEP-188.htm" TargetMode="External"/><Relationship Id="rId5" Type="http://schemas.openxmlformats.org/officeDocument/2006/relationships/hyperlink" Target="http://www.planalto.gov.br/ccivil_03/_Ato2011-2014/2011/Msg/VEP-188.htm" TargetMode="External"/><Relationship Id="rId10" Type="http://schemas.openxmlformats.org/officeDocument/2006/relationships/hyperlink" Target="http://www.planalto.gov.br/ccivil_03/_Ato2011-2014/2011/Msg/VEP-188.htm" TargetMode="External"/><Relationship Id="rId4" Type="http://schemas.openxmlformats.org/officeDocument/2006/relationships/hyperlink" Target="http://legislacao.planalto.gov.br/legisla/legislacao.nsf/Viw_Identificacao/lei%2012.414-2011?OpenDocument" TargetMode="External"/><Relationship Id="rId9" Type="http://schemas.openxmlformats.org/officeDocument/2006/relationships/hyperlink" Target="http://www.planalto.gov.br/ccivil_03/_Ato2011-2014/2011/Msg/VEP-188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2086</Words>
  <Characters>11267</Characters>
  <Application>Microsoft Office Word</Application>
  <DocSecurity>0</DocSecurity>
  <Lines>93</Lines>
  <Paragraphs>26</Paragraphs>
  <ScaleCrop>false</ScaleCrop>
  <Company/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1</cp:revision>
  <dcterms:created xsi:type="dcterms:W3CDTF">2012-12-26T16:38:00Z</dcterms:created>
  <dcterms:modified xsi:type="dcterms:W3CDTF">2012-12-26T16:44:00Z</dcterms:modified>
</cp:coreProperties>
</file>