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EC" w:rsidRPr="009722DC" w:rsidRDefault="009722DC">
      <w:pPr>
        <w:rPr>
          <w:rFonts w:ascii="Courier New" w:hAnsi="Courier New" w:cs="Courier New"/>
          <w:sz w:val="18"/>
          <w:szCs w:val="18"/>
        </w:rPr>
      </w:pPr>
      <w:r>
        <w:t xml:space="preserve">     </w:t>
      </w:r>
      <w:r w:rsidRPr="009722DC">
        <w:rPr>
          <w:rFonts w:ascii="Courier New" w:hAnsi="Courier New" w:cs="Courier New"/>
          <w:sz w:val="18"/>
          <w:szCs w:val="18"/>
        </w:rPr>
        <w:t xml:space="preserve">                    CIRCULAR 3.563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--------------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Altera</w:t>
      </w:r>
      <w:proofErr w:type="gramStart"/>
      <w:r w:rsidRPr="009722DC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9722DC">
        <w:rPr>
          <w:rFonts w:ascii="Courier New" w:hAnsi="Courier New" w:cs="Courier New"/>
          <w:sz w:val="18"/>
          <w:szCs w:val="18"/>
        </w:rPr>
        <w:t>a  Circular nº 3.360, de  12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setembro  de  2007,  que  estabelece  os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procedimentos para o cálculo da  parcela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do   Patrimônio  de  Referência  Exigido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(PRE)     referente    às     exposições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ponderadas por fator de risco (PEPR),  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a  Circular nº 3.512, de 25 de  novembro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de  2010,  que dispõe sobre o  pagamento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do  valor mínimo da fatura de cartão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crédito.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</w:t>
      </w:r>
      <w:proofErr w:type="gramStart"/>
      <w:r w:rsidRPr="009722DC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9722DC">
        <w:rPr>
          <w:rFonts w:ascii="Courier New" w:hAnsi="Courier New" w:cs="Courier New"/>
          <w:sz w:val="18"/>
          <w:szCs w:val="18"/>
        </w:rPr>
        <w:t>Diretoria Colegiada do Banco Central do Brasil, em sessão</w:t>
      </w:r>
      <w:r w:rsidRPr="009722DC">
        <w:rPr>
          <w:rFonts w:ascii="Courier New" w:hAnsi="Courier New" w:cs="Courier New"/>
          <w:sz w:val="18"/>
          <w:szCs w:val="18"/>
        </w:rPr>
        <w:br/>
        <w:t>realizada  em  10 e 11 de novembro de 2011, com base no disposto  nos</w:t>
      </w:r>
      <w:r w:rsidRPr="009722DC">
        <w:rPr>
          <w:rFonts w:ascii="Courier New" w:hAnsi="Courier New" w:cs="Courier New"/>
          <w:sz w:val="18"/>
          <w:szCs w:val="18"/>
        </w:rPr>
        <w:br/>
      </w:r>
      <w:proofErr w:type="spellStart"/>
      <w:r w:rsidRPr="009722DC">
        <w:rPr>
          <w:rFonts w:ascii="Courier New" w:hAnsi="Courier New" w:cs="Courier New"/>
          <w:sz w:val="18"/>
          <w:szCs w:val="18"/>
        </w:rPr>
        <w:t>arts</w:t>
      </w:r>
      <w:proofErr w:type="spellEnd"/>
      <w:r w:rsidRPr="009722DC">
        <w:rPr>
          <w:rFonts w:ascii="Courier New" w:hAnsi="Courier New" w:cs="Courier New"/>
          <w:sz w:val="18"/>
          <w:szCs w:val="18"/>
        </w:rPr>
        <w:t>. 10, incisos VI e IX, 11, inciso VII, da Lei nº 4.595, de 31</w:t>
      </w:r>
      <w:proofErr w:type="gramStart"/>
      <w:r w:rsidRPr="009722DC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9722DC">
        <w:rPr>
          <w:rFonts w:ascii="Courier New" w:hAnsi="Courier New" w:cs="Courier New"/>
          <w:sz w:val="18"/>
          <w:szCs w:val="18"/>
        </w:rPr>
        <w:t>de</w:t>
      </w:r>
      <w:r w:rsidRPr="009722DC">
        <w:rPr>
          <w:rFonts w:ascii="Courier New" w:hAnsi="Courier New" w:cs="Courier New"/>
          <w:sz w:val="18"/>
          <w:szCs w:val="18"/>
        </w:rPr>
        <w:br/>
        <w:t>dezembro  de  1964, e 22 da Resolução nº 3.919, de 25 de novembro  de</w:t>
      </w:r>
      <w:r w:rsidRPr="009722DC">
        <w:rPr>
          <w:rFonts w:ascii="Courier New" w:hAnsi="Courier New" w:cs="Courier New"/>
          <w:sz w:val="18"/>
          <w:szCs w:val="18"/>
        </w:rPr>
        <w:br/>
        <w:t>2010,  e tendo em vista o disposto no art. 6º da Resolução nº  3.490,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de 29 de agosto de 2007,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R E S O L V E :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Art.  1º  Os artigos 1º, 14 e 15-A da Circular nº 3.360,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12 de setembro de 2007, passam a vigorar com a seguinte redação: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"Art. 1º ...................................................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...........................................................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§  6º   Para  a  apuração do valor da exposição  relativa  à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aplicação  em  cotas de fundos de investimento especialmente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constituídos  (FIE)  vinculados  a  planos  de   previdência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complementar aberta do tipo Vida Gerador de Benefício  Livre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(VGBL)  ou  Plano Gerador de Benefício Livre  (PGBL),  devem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ser  deduzidos  os  valores  das  provisões  matemáticas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benefícios a conceder dos respectivos planos." (NR)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"Art. 14. ..................................................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............................................................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§  3º  Não devem ser consideradas, para fins do disposto  no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§  1º,  as  exposições  para as quais  haja  FPR  específico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estabelecido.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</w:t>
      </w:r>
      <w:proofErr w:type="gramStart"/>
      <w:r w:rsidRPr="009722DC">
        <w:rPr>
          <w:rFonts w:ascii="Courier New" w:hAnsi="Courier New" w:cs="Courier New"/>
          <w:sz w:val="18"/>
          <w:szCs w:val="18"/>
        </w:rPr>
        <w:t>......................................................</w:t>
      </w:r>
      <w:proofErr w:type="gramEnd"/>
      <w:r w:rsidRPr="009722DC">
        <w:rPr>
          <w:rFonts w:ascii="Courier New" w:hAnsi="Courier New" w:cs="Courier New"/>
          <w:sz w:val="18"/>
          <w:szCs w:val="18"/>
        </w:rPr>
        <w:t>" (NR)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"Ponderação 150%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Art.  15-A.   Deve  ser  aplicado  FPR  de  150%  (cento   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cinquenta por cento) às exposições relativas a operações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crédito  e  de arrendamento mercantil financeiro contratadas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com  pessoas naturais a partir de 6 de dezembro de  2010  ou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renegociadas a partir da data de publicação desta  Circular,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com prazo contratual superior a 24 meses, com exceção de: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I - crédito rural;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</w:r>
      <w:r w:rsidRPr="009722DC">
        <w:rPr>
          <w:rFonts w:ascii="Courier New" w:hAnsi="Courier New" w:cs="Courier New"/>
          <w:sz w:val="18"/>
          <w:szCs w:val="18"/>
        </w:rPr>
        <w:lastRenderedPageBreak/>
        <w:t xml:space="preserve">         II - crédito consignado;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III  -  financiamento com prazo contratual de  até  sessenta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meses  para  aquisição de veículo automotor,  garantido  por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alienação fiduciária do veículo;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IV   -   arrendamento   mercantil  financeiro   de   veículo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automotor, com prazo contratual de até sessenta meses;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V  -  financiamento  para aquisição de  imóvel  residencial,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novo ou usado, garantido por hipoteca, em primeiro grau,  ou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alienação fiduciária do imóvel financiado;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VI  -  financiamento  garantido por  hipoteca,  em  primeiro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grau,  ou  por  alienação fiduciária de imóvel  residencial,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novo ou usado;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VII</w:t>
      </w:r>
      <w:proofErr w:type="gramStart"/>
      <w:r w:rsidRPr="009722DC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9722DC">
        <w:rPr>
          <w:rFonts w:ascii="Courier New" w:hAnsi="Courier New" w:cs="Courier New"/>
          <w:sz w:val="18"/>
          <w:szCs w:val="18"/>
        </w:rPr>
        <w:t>-  financiamento  e arrendamento mercantil  de  veículo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automotor  de  carga com capacidade de transporte  acima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duas toneladas;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VIII - arrendamento mercantil de imóvel residencial;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IX  -  financiamento com recursos oriundos  de  repasses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fundos ou programas especiais do Governo Federal;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X  -  outras  operações  de crédito pessoal  sem  destinação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específica com prazo contratual inferior a 36 meses; e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XI  -  outras  operações de crédito pessoal  sem  destinação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específica com prazo contratual superior a sessenta meses  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data  de  contratação  ou  renovação  posterior  à  data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publicação desta Circular.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Parágrafo</w:t>
      </w:r>
      <w:proofErr w:type="gramStart"/>
      <w:r w:rsidRPr="009722DC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9722DC">
        <w:rPr>
          <w:rFonts w:ascii="Courier New" w:hAnsi="Courier New" w:cs="Courier New"/>
          <w:sz w:val="18"/>
          <w:szCs w:val="18"/>
        </w:rPr>
        <w:t>único.  A exceção de que trata o</w:t>
      </w:r>
      <w:proofErr w:type="gramStart"/>
      <w:r w:rsidRPr="009722DC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9722DC">
        <w:rPr>
          <w:rFonts w:ascii="Courier New" w:hAnsi="Courier New" w:cs="Courier New"/>
          <w:sz w:val="18"/>
          <w:szCs w:val="18"/>
        </w:rPr>
        <w:t>inciso  VII  do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caput  abrange  os veículos classificados  como  reboque  ou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semirreboque,  passíveis de registro e  licenciamento  pelos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órgãos  competentes nos termos da Lei nº  9.503,  de  23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setembro   de  1997  (Código  Nacional  de  Trânsito),   com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capacidade de carga acima de duas toneladas." (NR)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Art.  2º   A Circular nº 3.360, de 2007, fica acrescida  dos</w:t>
      </w:r>
      <w:r w:rsidRPr="009722DC">
        <w:rPr>
          <w:rFonts w:ascii="Courier New" w:hAnsi="Courier New" w:cs="Courier New"/>
          <w:sz w:val="18"/>
          <w:szCs w:val="18"/>
        </w:rPr>
        <w:br/>
      </w:r>
      <w:proofErr w:type="spellStart"/>
      <w:r w:rsidRPr="009722DC">
        <w:rPr>
          <w:rFonts w:ascii="Courier New" w:hAnsi="Courier New" w:cs="Courier New"/>
          <w:sz w:val="18"/>
          <w:szCs w:val="18"/>
        </w:rPr>
        <w:t>arts</w:t>
      </w:r>
      <w:proofErr w:type="spellEnd"/>
      <w:r w:rsidRPr="009722DC">
        <w:rPr>
          <w:rFonts w:ascii="Courier New" w:hAnsi="Courier New" w:cs="Courier New"/>
          <w:sz w:val="18"/>
          <w:szCs w:val="18"/>
        </w:rPr>
        <w:t xml:space="preserve">. 15-C e 15-D, com a seguinte redação: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"Ponderação 300%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Art.  15-C.   Deve ser aplicado FPR de 300%  (trezentos  por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cento)  às  exposições  relativas  a  operações  de  crédito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pessoal  sem  destinação específica, incluindo as  operações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de  crédito  consignado,  contratadas  ou  renegociadas  com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pessoas  naturais  a  partir da  data  de  publicação  desta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Circular, com prazo contratual superior a sessenta meses.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9722DC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9722DC">
        <w:rPr>
          <w:rFonts w:ascii="Courier New" w:hAnsi="Courier New" w:cs="Courier New"/>
          <w:sz w:val="18"/>
          <w:szCs w:val="18"/>
        </w:rPr>
        <w:t>15-D.  O  prazo contratual mencionado no art.  15-A  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15-C  corresponde ao período compreendido entre  a  data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contratação ou de renegociação da operação de crédito ou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arrendamento  mercantil  e  o  vencimento  contratual  dessa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operação.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</w:r>
      <w:r w:rsidRPr="009722DC">
        <w:rPr>
          <w:rFonts w:ascii="Courier New" w:hAnsi="Courier New" w:cs="Courier New"/>
          <w:sz w:val="18"/>
          <w:szCs w:val="18"/>
        </w:rPr>
        <w:lastRenderedPageBreak/>
        <w:t xml:space="preserve">         Parágrafo único.  Para fins do disposto no caput, considera-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se</w:t>
      </w:r>
      <w:proofErr w:type="gramStart"/>
      <w:r w:rsidRPr="009722DC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9722DC">
        <w:rPr>
          <w:rFonts w:ascii="Courier New" w:hAnsi="Courier New" w:cs="Courier New"/>
          <w:sz w:val="18"/>
          <w:szCs w:val="18"/>
        </w:rPr>
        <w:t>renegociação  a composição de dívida, a  prorrogação,  a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novação,  a  realização de nova operação,  pela  instituição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credora,  para  liquidação parcial ou integral  de  operação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anterior  ou  qualquer  outro tipo de  acordo  que  implique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alteração  nos  prazos de vencimento  ou  nas  condições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pagamento originalmente pactuadas." (NR)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Art.  3º   Esta  Circular entra em  vigor  na  data  de  sua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publicação.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Art. 4º  Ficam revogados: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I - a Circular nº 3.515, de 3 de dezembro de 2010;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II - a Carta Circular nº 3.518, de 19 de agosto de 2011; e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III - o inciso II do art. 1º da Circular nº 3.512, de 25  de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novembro de 2010.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Brasília, 11 de novembro de 2011.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        Luiz </w:t>
      </w:r>
      <w:proofErr w:type="spellStart"/>
      <w:r w:rsidRPr="009722DC">
        <w:rPr>
          <w:rFonts w:ascii="Courier New" w:hAnsi="Courier New" w:cs="Courier New"/>
          <w:sz w:val="18"/>
          <w:szCs w:val="18"/>
        </w:rPr>
        <w:t>Awazu</w:t>
      </w:r>
      <w:proofErr w:type="spellEnd"/>
      <w:r w:rsidRPr="009722DC">
        <w:rPr>
          <w:rFonts w:ascii="Courier New" w:hAnsi="Courier New" w:cs="Courier New"/>
          <w:sz w:val="18"/>
          <w:szCs w:val="18"/>
        </w:rPr>
        <w:t xml:space="preserve"> Pereira da Silva                     </w:t>
      </w:r>
      <w:r w:rsidRPr="009722DC">
        <w:rPr>
          <w:rFonts w:ascii="Courier New" w:hAnsi="Courier New" w:cs="Courier New"/>
          <w:sz w:val="18"/>
          <w:szCs w:val="18"/>
        </w:rPr>
        <w:br/>
        <w:t xml:space="preserve">             Diretor de Regulação do Sistema Financeiro  </w:t>
      </w:r>
    </w:p>
    <w:sectPr w:rsidR="004B21EC" w:rsidRPr="009722DC" w:rsidSect="004B2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2DC"/>
    <w:rsid w:val="004B21EC"/>
    <w:rsid w:val="0097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1573</Words>
  <Characters>8495</Characters>
  <Application>Microsoft Office Word</Application>
  <DocSecurity>0</DocSecurity>
  <Lines>70</Lines>
  <Paragraphs>20</Paragraphs>
  <ScaleCrop>false</ScaleCrop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2011-11-17T20:24:00Z</dcterms:created>
  <dcterms:modified xsi:type="dcterms:W3CDTF">2011-11-17T20:25:00Z</dcterms:modified>
</cp:coreProperties>
</file>