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left w:w="0" w:type="dxa"/>
          <w:right w:w="0" w:type="dxa"/>
        </w:tblCellMar>
        <w:tblLook w:val="04A0"/>
      </w:tblPr>
      <w:tblGrid>
        <w:gridCol w:w="4519"/>
      </w:tblGrid>
      <w:tr w:rsidR="000B2D02" w:rsidRPr="003D7DE2" w:rsidTr="000B2D02">
        <w:trPr>
          <w:tblCellSpacing w:w="15" w:type="dxa"/>
          <w:jc w:val="center"/>
        </w:trPr>
        <w:tc>
          <w:tcPr>
            <w:tcW w:w="0" w:type="auto"/>
            <w:tcMar>
              <w:top w:w="15" w:type="dxa"/>
              <w:left w:w="15" w:type="dxa"/>
              <w:bottom w:w="15" w:type="dxa"/>
              <w:right w:w="15" w:type="dxa"/>
            </w:tcMar>
            <w:vAlign w:val="center"/>
            <w:hideMark/>
          </w:tcPr>
          <w:p w:rsidR="000B2D02" w:rsidRPr="0072398B" w:rsidRDefault="000B2D02">
            <w:pPr>
              <w:rPr>
                <w:rFonts w:ascii="Courier New" w:hAnsi="Courier New" w:cs="Courier New"/>
                <w:b/>
                <w:caps/>
                <w:sz w:val="18"/>
                <w:szCs w:val="18"/>
              </w:rPr>
            </w:pPr>
            <w:r w:rsidRPr="0072398B">
              <w:rPr>
                <w:rFonts w:ascii="Courier New" w:hAnsi="Courier New" w:cs="Courier New"/>
                <w:b/>
                <w:caps/>
                <w:sz w:val="18"/>
                <w:szCs w:val="18"/>
              </w:rPr>
              <w:t xml:space="preserve">Circular Nº 3.584, de 12 de Março de </w:t>
            </w:r>
            <w:proofErr w:type="gramStart"/>
            <w:r w:rsidRPr="0072398B">
              <w:rPr>
                <w:rFonts w:ascii="Courier New" w:hAnsi="Courier New" w:cs="Courier New"/>
                <w:b/>
                <w:caps/>
                <w:sz w:val="18"/>
                <w:szCs w:val="18"/>
              </w:rPr>
              <w:t>2012</w:t>
            </w:r>
            <w:proofErr w:type="gramEnd"/>
            <w:r w:rsidRPr="0072398B">
              <w:rPr>
                <w:rFonts w:ascii="Courier New" w:hAnsi="Courier New" w:cs="Courier New"/>
                <w:b/>
                <w:caps/>
                <w:sz w:val="18"/>
                <w:szCs w:val="18"/>
              </w:rPr>
              <w:t xml:space="preserve"> </w:t>
            </w:r>
          </w:p>
        </w:tc>
      </w:tr>
      <w:tr w:rsidR="000B2D02" w:rsidTr="000B2D02">
        <w:trPr>
          <w:tblCellSpacing w:w="15" w:type="dxa"/>
          <w:jc w:val="center"/>
        </w:trPr>
        <w:tc>
          <w:tcPr>
            <w:tcW w:w="0" w:type="auto"/>
            <w:tcMar>
              <w:top w:w="15" w:type="dxa"/>
              <w:left w:w="15" w:type="dxa"/>
              <w:bottom w:w="15" w:type="dxa"/>
              <w:right w:w="15" w:type="dxa"/>
            </w:tcMar>
            <w:vAlign w:val="center"/>
            <w:hideMark/>
          </w:tcPr>
          <w:p w:rsidR="000B2D02" w:rsidRDefault="000B2D02">
            <w:pPr>
              <w:rPr>
                <w:rFonts w:asciiTheme="minorHAnsi" w:eastAsiaTheme="minorEastAsia" w:hAnsiTheme="minorHAnsi" w:cstheme="minorBidi"/>
                <w:sz w:val="22"/>
                <w:szCs w:val="22"/>
              </w:rPr>
            </w:pPr>
          </w:p>
        </w:tc>
      </w:tr>
      <w:tr w:rsidR="000B2D02" w:rsidTr="000B2D02">
        <w:trPr>
          <w:tblCellSpacing w:w="15" w:type="dxa"/>
          <w:jc w:val="center"/>
        </w:trPr>
        <w:tc>
          <w:tcPr>
            <w:tcW w:w="0" w:type="auto"/>
            <w:tcMar>
              <w:top w:w="15" w:type="dxa"/>
              <w:left w:w="15" w:type="dxa"/>
              <w:bottom w:w="15" w:type="dxa"/>
              <w:right w:w="15" w:type="dxa"/>
            </w:tcMar>
            <w:vAlign w:val="center"/>
            <w:hideMark/>
          </w:tcPr>
          <w:p w:rsidR="000B2D02" w:rsidRDefault="000B2D02">
            <w:pPr>
              <w:jc w:val="center"/>
              <w:rPr>
                <w:caps/>
                <w:sz w:val="15"/>
                <w:szCs w:val="15"/>
              </w:rPr>
            </w:pPr>
            <w:r>
              <w:rPr>
                <w:caps/>
                <w:sz w:val="15"/>
                <w:szCs w:val="15"/>
              </w:rPr>
              <w:t xml:space="preserve">Texto Original </w:t>
            </w:r>
          </w:p>
        </w:tc>
      </w:tr>
    </w:tbl>
    <w:p w:rsidR="000B2D02" w:rsidRDefault="000B2D02" w:rsidP="000B2D02">
      <w:pPr>
        <w:spacing w:after="240"/>
        <w:jc w:val="center"/>
        <w:rPr>
          <w:sz w:val="19"/>
          <w:szCs w:val="19"/>
        </w:rPr>
      </w:pPr>
    </w:p>
    <w:tbl>
      <w:tblPr>
        <w:tblW w:w="4500" w:type="pct"/>
        <w:jc w:val="center"/>
        <w:tblCellSpacing w:w="15" w:type="dxa"/>
        <w:tblCellMar>
          <w:left w:w="0" w:type="dxa"/>
          <w:right w:w="0" w:type="dxa"/>
        </w:tblCellMar>
        <w:tblLook w:val="04A0"/>
      </w:tblPr>
      <w:tblGrid>
        <w:gridCol w:w="8074"/>
      </w:tblGrid>
      <w:tr w:rsidR="000B2D02" w:rsidTr="000B2D02">
        <w:trPr>
          <w:tblCellSpacing w:w="15" w:type="dxa"/>
          <w:jc w:val="center"/>
        </w:trPr>
        <w:tc>
          <w:tcPr>
            <w:tcW w:w="0" w:type="auto"/>
            <w:vAlign w:val="center"/>
            <w:hideMark/>
          </w:tcPr>
          <w:p w:rsidR="000B2D02" w:rsidRDefault="000B2D02">
            <w:pPr>
              <w:jc w:val="both"/>
              <w:rPr>
                <w:rFonts w:ascii="Lucida Console" w:hAnsi="Lucida Console"/>
                <w:sz w:val="19"/>
                <w:szCs w:val="19"/>
              </w:rPr>
            </w:pPr>
            <w:r>
              <w:rPr>
                <w:rFonts w:ascii="Lucida Console" w:hAnsi="Lucida Console"/>
                <w:sz w:val="19"/>
                <w:szCs w:val="19"/>
              </w:rPr>
              <w:t>Altera o Regulamento do Mercado de Câmbio e Capitais Internacionais (RMCCI).</w:t>
            </w:r>
          </w:p>
          <w:p w:rsidR="003D7DE2" w:rsidRDefault="003D7DE2">
            <w:pPr>
              <w:jc w:val="both"/>
              <w:rPr>
                <w:rFonts w:ascii="Lucida Console" w:hAnsi="Lucida Console"/>
                <w:sz w:val="19"/>
                <w:szCs w:val="19"/>
              </w:rPr>
            </w:pPr>
          </w:p>
          <w:p w:rsidR="003D7DE2" w:rsidRDefault="003D7DE2">
            <w:pPr>
              <w:jc w:val="both"/>
              <w:rPr>
                <w:rFonts w:ascii="Lucida Console" w:hAnsi="Lucida Console"/>
                <w:sz w:val="19"/>
                <w:szCs w:val="19"/>
              </w:rPr>
            </w:pPr>
          </w:p>
        </w:tc>
      </w:tr>
      <w:tr w:rsidR="000B2D02" w:rsidTr="000B2D02">
        <w:trPr>
          <w:tblCellSpacing w:w="15" w:type="dxa"/>
          <w:jc w:val="center"/>
        </w:trPr>
        <w:tc>
          <w:tcPr>
            <w:tcW w:w="0" w:type="auto"/>
            <w:vAlign w:val="center"/>
            <w:hideMark/>
          </w:tcPr>
          <w:p w:rsidR="000B2D02" w:rsidRDefault="000B2D02" w:rsidP="00062A03">
            <w:pPr>
              <w:rPr>
                <w:rFonts w:ascii="Lucida Console" w:hAnsi="Lucida Console"/>
                <w:sz w:val="19"/>
                <w:szCs w:val="19"/>
              </w:rPr>
            </w:pPr>
            <w:r>
              <w:rPr>
                <w:rFonts w:ascii="Lucida Console" w:hAnsi="Lucida Console"/>
                <w:sz w:val="19"/>
                <w:szCs w:val="19"/>
              </w:rPr>
              <w:t xml:space="preserve">A Diretoria Colegiada do Banco Central do Brasil, em sessão realizada em </w:t>
            </w:r>
            <w:proofErr w:type="gramStart"/>
            <w:r>
              <w:rPr>
                <w:rFonts w:ascii="Lucida Console" w:hAnsi="Lucida Console"/>
                <w:sz w:val="19"/>
                <w:szCs w:val="19"/>
              </w:rPr>
              <w:t>8</w:t>
            </w:r>
            <w:proofErr w:type="gramEnd"/>
            <w:r>
              <w:rPr>
                <w:rFonts w:ascii="Lucida Console" w:hAnsi="Lucida Console"/>
                <w:sz w:val="19"/>
                <w:szCs w:val="19"/>
              </w:rPr>
              <w:t xml:space="preserve"> de março de 2012, com base no art. 23 da Lei nº 4.131, de 3 de setembro de 1962, nos </w:t>
            </w:r>
            <w:proofErr w:type="spellStart"/>
            <w:r>
              <w:rPr>
                <w:rFonts w:ascii="Lucida Console" w:hAnsi="Lucida Console"/>
                <w:sz w:val="19"/>
                <w:szCs w:val="19"/>
              </w:rPr>
              <w:t>arts</w:t>
            </w:r>
            <w:proofErr w:type="spellEnd"/>
            <w:r>
              <w:rPr>
                <w:rFonts w:ascii="Lucida Console" w:hAnsi="Lucida Console"/>
                <w:sz w:val="19"/>
                <w:szCs w:val="19"/>
              </w:rPr>
              <w:t xml:space="preserve">. </w:t>
            </w:r>
            <w:proofErr w:type="gramStart"/>
            <w:r>
              <w:rPr>
                <w:rFonts w:ascii="Lucida Console" w:hAnsi="Lucida Console"/>
                <w:sz w:val="19"/>
                <w:szCs w:val="19"/>
              </w:rPr>
              <w:t>9º, 10 e 11</w:t>
            </w:r>
            <w:proofErr w:type="gramEnd"/>
            <w:r>
              <w:rPr>
                <w:rFonts w:ascii="Lucida Console" w:hAnsi="Lucida Console"/>
                <w:sz w:val="19"/>
                <w:szCs w:val="19"/>
              </w:rPr>
              <w:t xml:space="preserve"> da Lei nº 4.595, de 31 de dezembro de 1964, no art. 38 da Resolução nº 3.568, de 29 de maio de 2008, e tendo em vista o art. 2º da Circular nº 3.280, de 9 de março de 2005,</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t xml:space="preserve">R E S O L V </w:t>
            </w:r>
            <w:proofErr w:type="gramStart"/>
            <w:r>
              <w:rPr>
                <w:rFonts w:ascii="Lucida Console" w:hAnsi="Lucida Console"/>
                <w:sz w:val="19"/>
                <w:szCs w:val="19"/>
              </w:rPr>
              <w:t>E :</w:t>
            </w:r>
            <w:proofErr w:type="gramEnd"/>
          </w:p>
          <w:p w:rsidR="000B2D02" w:rsidRPr="003D7DE2" w:rsidRDefault="000B2D02" w:rsidP="00062A03">
            <w:pPr>
              <w:rPr>
                <w:rFonts w:ascii="Lucida Console" w:hAnsi="Lucida Console"/>
                <w:b/>
                <w:sz w:val="19"/>
                <w:szCs w:val="19"/>
              </w:rPr>
            </w:pPr>
            <w:r w:rsidRPr="003D7DE2">
              <w:rPr>
                <w:rFonts w:ascii="Lucida Console" w:hAnsi="Lucida Console"/>
                <w:b/>
                <w:sz w:val="19"/>
                <w:szCs w:val="19"/>
              </w:rPr>
              <w:t> </w:t>
            </w:r>
          </w:p>
          <w:p w:rsidR="000B2D02" w:rsidRDefault="000B2D02" w:rsidP="00062A03">
            <w:pPr>
              <w:rPr>
                <w:rFonts w:ascii="Lucida Console" w:hAnsi="Lucida Console"/>
                <w:sz w:val="19"/>
                <w:szCs w:val="19"/>
              </w:rPr>
            </w:pPr>
            <w:r w:rsidRPr="003D7DE2">
              <w:rPr>
                <w:rFonts w:ascii="Lucida Console" w:hAnsi="Lucida Console"/>
                <w:b/>
                <w:sz w:val="19"/>
                <w:szCs w:val="19"/>
              </w:rPr>
              <w:t>Art. 1º</w:t>
            </w:r>
            <w:proofErr w:type="gramStart"/>
            <w:r>
              <w:rPr>
                <w:rFonts w:ascii="Lucida Console" w:hAnsi="Lucida Console"/>
                <w:sz w:val="19"/>
                <w:szCs w:val="19"/>
              </w:rPr>
              <w:t xml:space="preserve">  </w:t>
            </w:r>
            <w:proofErr w:type="gramEnd"/>
            <w:r>
              <w:rPr>
                <w:rFonts w:ascii="Lucida Console" w:hAnsi="Lucida Console"/>
                <w:sz w:val="19"/>
                <w:szCs w:val="19"/>
              </w:rPr>
              <w:t>As disposições abaixo enumeradas do título 1 do Regulamento do Mercado de Câmbio e Capitais Internacionais (RMCCI), divulgado pela Circular nº 3.280, de 9 de março de 2005, passam a vigorar com a redação das folhas anexas a esta Circular:</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t>I - capítulo 4, seção 3;</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t>II - capítulo 13, seção 1.</w:t>
            </w:r>
          </w:p>
          <w:p w:rsidR="000B2D02" w:rsidRPr="003D7DE2" w:rsidRDefault="000B2D02" w:rsidP="00062A03">
            <w:pPr>
              <w:rPr>
                <w:rFonts w:ascii="Lucida Console" w:hAnsi="Lucida Console"/>
                <w:b/>
                <w:sz w:val="19"/>
                <w:szCs w:val="19"/>
              </w:rPr>
            </w:pPr>
            <w:r w:rsidRPr="003D7DE2">
              <w:rPr>
                <w:rFonts w:ascii="Lucida Console" w:hAnsi="Lucida Console"/>
                <w:b/>
                <w:sz w:val="19"/>
                <w:szCs w:val="19"/>
              </w:rPr>
              <w:t> </w:t>
            </w:r>
          </w:p>
          <w:p w:rsidR="000B2D02" w:rsidRDefault="000B2D02" w:rsidP="00062A03">
            <w:pPr>
              <w:rPr>
                <w:rFonts w:ascii="Lucida Console" w:hAnsi="Lucida Console"/>
                <w:sz w:val="19"/>
                <w:szCs w:val="19"/>
              </w:rPr>
            </w:pPr>
            <w:r w:rsidRPr="003D7DE2">
              <w:rPr>
                <w:rFonts w:ascii="Lucida Console" w:hAnsi="Lucida Console"/>
                <w:b/>
                <w:sz w:val="19"/>
                <w:szCs w:val="19"/>
              </w:rPr>
              <w:t>Art. 2º</w:t>
            </w:r>
            <w:proofErr w:type="gramStart"/>
            <w:r>
              <w:rPr>
                <w:rFonts w:ascii="Lucida Console" w:hAnsi="Lucida Console"/>
                <w:sz w:val="19"/>
                <w:szCs w:val="19"/>
              </w:rPr>
              <w:t xml:space="preserve">  </w:t>
            </w:r>
            <w:proofErr w:type="gramEnd"/>
            <w:r>
              <w:rPr>
                <w:rFonts w:ascii="Lucida Console" w:hAnsi="Lucida Console"/>
                <w:sz w:val="19"/>
                <w:szCs w:val="19"/>
              </w:rPr>
              <w:t>Esta Circular entra em vigor na data de sua publicação.</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t> </w:t>
            </w:r>
          </w:p>
          <w:p w:rsidR="000B2D02" w:rsidRDefault="000B2D02" w:rsidP="00062A03">
            <w:pPr>
              <w:rPr>
                <w:rFonts w:ascii="Lucida Console" w:hAnsi="Lucida Console"/>
                <w:sz w:val="19"/>
                <w:szCs w:val="19"/>
              </w:rPr>
            </w:pPr>
            <w:r>
              <w:rPr>
                <w:rFonts w:ascii="Lucida Console" w:hAnsi="Lucida Console"/>
                <w:sz w:val="19"/>
                <w:szCs w:val="19"/>
              </w:rPr>
              <w:br/>
              <w:t xml:space="preserve"> Luiz </w:t>
            </w:r>
            <w:proofErr w:type="spellStart"/>
            <w:r>
              <w:rPr>
                <w:rFonts w:ascii="Lucida Console" w:hAnsi="Lucida Console"/>
                <w:sz w:val="19"/>
                <w:szCs w:val="19"/>
              </w:rPr>
              <w:t>Awazu</w:t>
            </w:r>
            <w:proofErr w:type="spellEnd"/>
            <w:r>
              <w:rPr>
                <w:rFonts w:ascii="Lucida Console" w:hAnsi="Lucida Console"/>
                <w:sz w:val="19"/>
                <w:szCs w:val="19"/>
              </w:rPr>
              <w:t xml:space="preserve"> Pereira da Silva             </w:t>
            </w:r>
            <w:proofErr w:type="spellStart"/>
            <w:r>
              <w:rPr>
                <w:rFonts w:ascii="Lucida Console" w:hAnsi="Lucida Console"/>
                <w:sz w:val="19"/>
                <w:szCs w:val="19"/>
              </w:rPr>
              <w:t>Anthero</w:t>
            </w:r>
            <w:proofErr w:type="spellEnd"/>
            <w:r>
              <w:rPr>
                <w:rFonts w:ascii="Lucida Console" w:hAnsi="Lucida Console"/>
                <w:sz w:val="19"/>
                <w:szCs w:val="19"/>
              </w:rPr>
              <w:t xml:space="preserve"> de Moraes Meirelles</w:t>
            </w:r>
            <w:r>
              <w:rPr>
                <w:rFonts w:ascii="Lucida Console" w:hAnsi="Lucida Console"/>
                <w:sz w:val="19"/>
                <w:szCs w:val="19"/>
              </w:rPr>
              <w:br/>
              <w:t> Diretor de Regulação do Sistema         Diretor de Fiscalização</w:t>
            </w:r>
            <w:r>
              <w:rPr>
                <w:rFonts w:ascii="Lucida Console" w:hAnsi="Lucida Console"/>
                <w:sz w:val="19"/>
                <w:szCs w:val="19"/>
              </w:rPr>
              <w:br/>
              <w:t> Financeiro</w:t>
            </w:r>
          </w:p>
          <w:p w:rsidR="003D7DE2" w:rsidRDefault="003D7DE2" w:rsidP="00062A03">
            <w:pPr>
              <w:rPr>
                <w:rFonts w:ascii="Lucida Console" w:hAnsi="Lucida Console"/>
                <w:sz w:val="19"/>
                <w:szCs w:val="19"/>
              </w:rPr>
            </w:pPr>
          </w:p>
          <w:p w:rsidR="003D7DE2" w:rsidRDefault="003D7DE2" w:rsidP="00062A03">
            <w:pPr>
              <w:rPr>
                <w:rFonts w:ascii="Lucida Console" w:hAnsi="Lucida Console"/>
                <w:sz w:val="19"/>
                <w:szCs w:val="19"/>
              </w:rPr>
            </w:pPr>
          </w:p>
          <w:p w:rsidR="000B2D02" w:rsidRDefault="000B2D02" w:rsidP="00062A03">
            <w:pPr>
              <w:rPr>
                <w:rFonts w:ascii="Lucida Console" w:hAnsi="Lucida Console"/>
                <w:sz w:val="19"/>
                <w:szCs w:val="19"/>
              </w:rPr>
            </w:pPr>
            <w:r>
              <w:rPr>
                <w:rFonts w:ascii="Lucida Console" w:hAnsi="Lucida Console"/>
                <w:sz w:val="19"/>
                <w:szCs w:val="19"/>
              </w:rPr>
              <w:br/>
              <w:t>----------------------------------------------------------------------</w:t>
            </w:r>
            <w:r>
              <w:rPr>
                <w:rFonts w:ascii="Lucida Console" w:hAnsi="Lucida Console"/>
                <w:sz w:val="19"/>
                <w:szCs w:val="19"/>
              </w:rPr>
              <w:br/>
              <w:t>REGULAMENTO DO MERCADO DE CÂMBIO E CAPITAIS INTERNACIONAIS</w:t>
            </w:r>
            <w:r>
              <w:rPr>
                <w:rFonts w:ascii="Lucida Console" w:hAnsi="Lucida Console"/>
                <w:sz w:val="19"/>
                <w:szCs w:val="19"/>
              </w:rPr>
              <w:br/>
              <w:t>TÍTULO: 1 - Mercado de Câmbio</w:t>
            </w:r>
            <w:r>
              <w:rPr>
                <w:rFonts w:ascii="Lucida Console" w:hAnsi="Lucida Console"/>
                <w:sz w:val="19"/>
                <w:szCs w:val="19"/>
              </w:rPr>
              <w:br/>
              <w:t>CAPÍTULO: 4 - Operações Interbancárias no País e Operações com Instituições Financeiras no Exterior</w:t>
            </w:r>
            <w:r>
              <w:rPr>
                <w:rFonts w:ascii="Lucida Console" w:hAnsi="Lucida Console"/>
                <w:sz w:val="19"/>
                <w:szCs w:val="19"/>
              </w:rPr>
              <w:br/>
              <w:t>SEÇÃO: 3 - Operações com Instituições Financeiras no Exterior</w:t>
            </w:r>
            <w:r>
              <w:rPr>
                <w:rFonts w:ascii="Lucida Console" w:hAnsi="Lucida Console"/>
                <w:sz w:val="19"/>
                <w:szCs w:val="19"/>
              </w:rPr>
              <w:br/>
              <w:t>----------------------------------------------------------------------</w:t>
            </w:r>
            <w:r>
              <w:rPr>
                <w:rFonts w:ascii="Lucida Console" w:hAnsi="Lucida Console"/>
                <w:sz w:val="19"/>
                <w:szCs w:val="19"/>
              </w:rPr>
              <w:br/>
            </w:r>
            <w:r>
              <w:rPr>
                <w:rFonts w:ascii="Lucida Console" w:hAnsi="Lucida Console"/>
                <w:sz w:val="19"/>
                <w:szCs w:val="19"/>
              </w:rPr>
              <w:br/>
              <w:t>1. As instituições financeiras e as demais instituições autorizadas a funcionar pelo Banco Central do Brasil, autorizadas a operar no mercado de câmbio, podem realizar operações com instituições financeiras no exterior, observado que o relacionamento financeiro com a instituição externa deve se verificar, exclusivamente, por meio de banco autorizado a operar no mercado de câmbio.</w:t>
            </w:r>
            <w:r>
              <w:rPr>
                <w:rFonts w:ascii="Lucida Console" w:hAnsi="Lucida Console"/>
                <w:sz w:val="19"/>
                <w:szCs w:val="19"/>
              </w:rPr>
              <w:br/>
            </w:r>
            <w:r>
              <w:rPr>
                <w:rFonts w:ascii="Lucida Console" w:hAnsi="Lucida Console"/>
                <w:sz w:val="19"/>
                <w:szCs w:val="19"/>
              </w:rPr>
              <w:br/>
              <w:t xml:space="preserve">2. A compra e a venda de moeda estrangeira por arbitragem devem ser registradas no </w:t>
            </w:r>
            <w:proofErr w:type="spellStart"/>
            <w:r>
              <w:rPr>
                <w:rFonts w:ascii="Lucida Console" w:hAnsi="Lucida Console"/>
                <w:sz w:val="19"/>
                <w:szCs w:val="19"/>
              </w:rPr>
              <w:t>Sisbacen</w:t>
            </w:r>
            <w:proofErr w:type="spellEnd"/>
            <w:r>
              <w:rPr>
                <w:rFonts w:ascii="Lucida Console" w:hAnsi="Lucida Console"/>
                <w:sz w:val="19"/>
                <w:szCs w:val="19"/>
              </w:rPr>
              <w:t xml:space="preserve"> atribuindo-se às moedas compradas e vendidas o mesmo contravalor em moeda nacional, indicando no campo outras especificações </w:t>
            </w:r>
            <w:proofErr w:type="gramStart"/>
            <w:r>
              <w:rPr>
                <w:rFonts w:ascii="Lucida Console" w:hAnsi="Lucida Console"/>
                <w:sz w:val="19"/>
                <w:szCs w:val="19"/>
              </w:rPr>
              <w:t>a</w:t>
            </w:r>
            <w:proofErr w:type="gramEnd"/>
            <w:r>
              <w:rPr>
                <w:rFonts w:ascii="Lucida Console" w:hAnsi="Lucida Console"/>
                <w:sz w:val="19"/>
                <w:szCs w:val="19"/>
              </w:rPr>
              <w:t xml:space="preserve"> correlação paritária aplicada.</w:t>
            </w:r>
            <w:r>
              <w:rPr>
                <w:rFonts w:ascii="Lucida Console" w:hAnsi="Lucida Console"/>
                <w:sz w:val="19"/>
                <w:szCs w:val="19"/>
              </w:rPr>
              <w:br/>
            </w:r>
            <w:r>
              <w:rPr>
                <w:rFonts w:ascii="Lucida Console" w:hAnsi="Lucida Console"/>
                <w:sz w:val="19"/>
                <w:szCs w:val="19"/>
              </w:rPr>
              <w:br/>
              <w:t xml:space="preserve">3. É compulsória a identificação das partes contratantes nas operações de câmbio, devendo constar no </w:t>
            </w:r>
            <w:proofErr w:type="spellStart"/>
            <w:r>
              <w:rPr>
                <w:rFonts w:ascii="Lucida Console" w:hAnsi="Lucida Console"/>
                <w:sz w:val="19"/>
                <w:szCs w:val="19"/>
              </w:rPr>
              <w:t>Sisbacen</w:t>
            </w:r>
            <w:proofErr w:type="spellEnd"/>
            <w:r>
              <w:rPr>
                <w:rFonts w:ascii="Lucida Console" w:hAnsi="Lucida Console"/>
                <w:sz w:val="19"/>
                <w:szCs w:val="19"/>
              </w:rPr>
              <w:t xml:space="preserve"> o país e a cidade do parceiro da transação.</w:t>
            </w:r>
            <w:r>
              <w:rPr>
                <w:rFonts w:ascii="Lucida Console" w:hAnsi="Lucida Console"/>
                <w:sz w:val="19"/>
                <w:szCs w:val="19"/>
              </w:rPr>
              <w:br/>
            </w:r>
            <w:r>
              <w:rPr>
                <w:rFonts w:ascii="Lucida Console" w:hAnsi="Lucida Console"/>
                <w:sz w:val="19"/>
                <w:szCs w:val="19"/>
              </w:rPr>
              <w:br/>
              <w:t xml:space="preserve">4. É vedada a utilização das contas de residentes, domiciliados ou com </w:t>
            </w:r>
            <w:proofErr w:type="gramStart"/>
            <w:r>
              <w:rPr>
                <w:rFonts w:ascii="Lucida Console" w:hAnsi="Lucida Console"/>
                <w:sz w:val="19"/>
                <w:szCs w:val="19"/>
              </w:rPr>
              <w:t>sede no exterior tituladas</w:t>
            </w:r>
            <w:proofErr w:type="gramEnd"/>
            <w:r>
              <w:rPr>
                <w:rFonts w:ascii="Lucida Console" w:hAnsi="Lucida Console"/>
                <w:sz w:val="19"/>
                <w:szCs w:val="19"/>
              </w:rPr>
              <w:t xml:space="preserve"> por instituições financeiras do exterior para a realização de transferência internacional em reais de interesse de terceiros.</w:t>
            </w:r>
            <w:r>
              <w:rPr>
                <w:rFonts w:ascii="Lucida Console" w:hAnsi="Lucida Console"/>
                <w:sz w:val="19"/>
                <w:szCs w:val="19"/>
              </w:rPr>
              <w:br/>
            </w:r>
            <w:r>
              <w:rPr>
                <w:rFonts w:ascii="Lucida Console" w:hAnsi="Lucida Console"/>
                <w:sz w:val="19"/>
                <w:szCs w:val="19"/>
              </w:rPr>
              <w:br/>
              <w:t xml:space="preserve">5. Nas situações que envolvam a necessidade de entrada ou saída no/do País de moeda estrangeira em espécie, o Banco Central do Brasil, por solicitação da instituição interessada, pode atestar o registro no </w:t>
            </w:r>
            <w:proofErr w:type="spellStart"/>
            <w:r>
              <w:rPr>
                <w:rFonts w:ascii="Lucida Console" w:hAnsi="Lucida Console"/>
                <w:sz w:val="19"/>
                <w:szCs w:val="19"/>
              </w:rPr>
              <w:t>Sisbacen</w:t>
            </w:r>
            <w:proofErr w:type="spellEnd"/>
            <w:r>
              <w:rPr>
                <w:rFonts w:ascii="Lucida Console" w:hAnsi="Lucida Console"/>
                <w:sz w:val="19"/>
                <w:szCs w:val="19"/>
              </w:rPr>
              <w:t xml:space="preserve"> de operação realizada com instituição financeira do exterior.</w:t>
            </w:r>
            <w:r>
              <w:rPr>
                <w:rFonts w:ascii="Lucida Console" w:hAnsi="Lucida Console"/>
                <w:sz w:val="19"/>
                <w:szCs w:val="19"/>
              </w:rPr>
              <w:br/>
            </w:r>
            <w:r>
              <w:rPr>
                <w:rFonts w:ascii="Lucida Console" w:hAnsi="Lucida Console"/>
                <w:sz w:val="19"/>
                <w:szCs w:val="19"/>
              </w:rPr>
              <w:br/>
            </w:r>
            <w:r>
              <w:rPr>
                <w:rFonts w:ascii="Lucida Console" w:hAnsi="Lucida Console"/>
                <w:sz w:val="19"/>
                <w:szCs w:val="19"/>
              </w:rPr>
              <w:lastRenderedPageBreak/>
              <w:t xml:space="preserve">6. Os bancos autorizados a operar no mercado de câmbio, exceto os de desenvolvimento, bem como a Caixa Econômica Federal, podem realizar operações de compra e de venda de moeda estrangeira com instituição bancária do exterior, em contrapartida a reais em espécie recebidos do ou enviados para o exterior, na </w:t>
            </w:r>
            <w:proofErr w:type="gramStart"/>
            <w:r>
              <w:rPr>
                <w:rFonts w:ascii="Lucida Console" w:hAnsi="Lucida Console"/>
                <w:sz w:val="19"/>
                <w:szCs w:val="19"/>
              </w:rPr>
              <w:t>forma da regulamentação em vigor, observado</w:t>
            </w:r>
            <w:proofErr w:type="gramEnd"/>
            <w:r>
              <w:rPr>
                <w:rFonts w:ascii="Lucida Console" w:hAnsi="Lucida Console"/>
                <w:sz w:val="19"/>
                <w:szCs w:val="19"/>
              </w:rPr>
              <w:t xml:space="preserve"> que:</w:t>
            </w:r>
            <w:r>
              <w:rPr>
                <w:rFonts w:ascii="Lucida Console" w:hAnsi="Lucida Console"/>
                <w:sz w:val="19"/>
                <w:szCs w:val="19"/>
              </w:rPr>
              <w:br/>
            </w:r>
            <w:r>
              <w:rPr>
                <w:rFonts w:ascii="Lucida Console" w:hAnsi="Lucida Console"/>
                <w:sz w:val="19"/>
                <w:szCs w:val="19"/>
              </w:rPr>
              <w:br/>
              <w:t xml:space="preserve">a) referidas operações de câmbio possuem código de natureza específico e devem ser realizadas em uma única agência da instituição autorizada a operar no mercado de câmbio, previamente informada ao Banco Central do Brasil pelo diretor responsável pelas operações relacionadas ao mercado de câmbio em transação específica do </w:t>
            </w:r>
            <w:proofErr w:type="spellStart"/>
            <w:r>
              <w:rPr>
                <w:rFonts w:ascii="Lucida Console" w:hAnsi="Lucida Console"/>
                <w:sz w:val="19"/>
                <w:szCs w:val="19"/>
              </w:rPr>
              <w:t>Sisbacen</w:t>
            </w:r>
            <w:proofErr w:type="spellEnd"/>
            <w:r>
              <w:rPr>
                <w:rFonts w:ascii="Lucida Console" w:hAnsi="Lucida Console"/>
                <w:sz w:val="19"/>
                <w:szCs w:val="19"/>
              </w:rPr>
              <w:t>;</w:t>
            </w:r>
            <w:r>
              <w:rPr>
                <w:rFonts w:ascii="Lucida Console" w:hAnsi="Lucida Console"/>
                <w:sz w:val="19"/>
                <w:szCs w:val="19"/>
              </w:rPr>
              <w:br/>
            </w:r>
            <w:r>
              <w:rPr>
                <w:rFonts w:ascii="Lucida Console" w:hAnsi="Lucida Console"/>
                <w:sz w:val="19"/>
                <w:szCs w:val="19"/>
              </w:rPr>
              <w:br/>
              <w:t>b) uma via da declaração de entrada e saída dos recursos no e do País, prestada na forma da regulamentação em vigor, deve constar obrigatoriamente do dossiê da respectiva operação de câmbio;</w:t>
            </w:r>
            <w:r>
              <w:rPr>
                <w:rFonts w:ascii="Lucida Console" w:hAnsi="Lucida Console"/>
                <w:sz w:val="19"/>
                <w:szCs w:val="19"/>
              </w:rPr>
              <w:br/>
            </w:r>
            <w:r>
              <w:rPr>
                <w:rFonts w:ascii="Lucida Console" w:hAnsi="Lucida Console"/>
                <w:sz w:val="19"/>
                <w:szCs w:val="19"/>
              </w:rPr>
              <w:br/>
              <w:t>c) é obrigatória a obtenção prévia de CNPJ junto à Secretaria da Receita Federal do Brasil para o banco estrangeiro contraparte na operação;</w:t>
            </w:r>
            <w:r>
              <w:rPr>
                <w:rFonts w:ascii="Lucida Console" w:hAnsi="Lucida Console"/>
                <w:sz w:val="19"/>
                <w:szCs w:val="19"/>
              </w:rPr>
              <w:br/>
            </w:r>
            <w:r>
              <w:rPr>
                <w:rFonts w:ascii="Lucida Console" w:hAnsi="Lucida Console"/>
                <w:sz w:val="19"/>
                <w:szCs w:val="19"/>
              </w:rPr>
              <w:br/>
              <w:t>d) é obrigatório o uso de cédulas novas para envio ao exterior, observado que a instituição bancária responsável pela remessa de cédulas ao exterior também é responsável pela manutenção de registro e controle da numeração das cédulas enviadas, enquanto não editada norma específica por parte do Departamento do Meio Circulante do Banco Central Brasil (</w:t>
            </w:r>
            <w:proofErr w:type="spellStart"/>
            <w:r>
              <w:rPr>
                <w:rFonts w:ascii="Lucida Console" w:hAnsi="Lucida Console"/>
                <w:sz w:val="19"/>
                <w:szCs w:val="19"/>
              </w:rPr>
              <w:t>Bacen</w:t>
            </w:r>
            <w:proofErr w:type="spellEnd"/>
            <w:r>
              <w:rPr>
                <w:rFonts w:ascii="Lucida Console" w:hAnsi="Lucida Console"/>
                <w:sz w:val="19"/>
                <w:szCs w:val="19"/>
              </w:rPr>
              <w:t>/</w:t>
            </w:r>
            <w:proofErr w:type="spellStart"/>
            <w:r>
              <w:rPr>
                <w:rFonts w:ascii="Lucida Console" w:hAnsi="Lucida Console"/>
                <w:sz w:val="19"/>
                <w:szCs w:val="19"/>
              </w:rPr>
              <w:t>Mecir</w:t>
            </w:r>
            <w:proofErr w:type="spellEnd"/>
            <w:r>
              <w:rPr>
                <w:rFonts w:ascii="Lucida Console" w:hAnsi="Lucida Console"/>
                <w:sz w:val="19"/>
                <w:szCs w:val="19"/>
              </w:rPr>
              <w:t>).</w:t>
            </w:r>
            <w:r>
              <w:rPr>
                <w:rFonts w:ascii="Lucida Console" w:hAnsi="Lucida Console"/>
                <w:sz w:val="19"/>
                <w:szCs w:val="19"/>
              </w:rPr>
              <w:br/>
            </w:r>
            <w:r>
              <w:rPr>
                <w:rFonts w:ascii="Lucida Console" w:hAnsi="Lucida Console"/>
                <w:sz w:val="19"/>
                <w:szCs w:val="19"/>
              </w:rPr>
              <w:br/>
              <w:t xml:space="preserve">7. Para o curso das operações de que trata esta seção, as instituições financeiras e as demais instituições autorizadas a funcionar pelo Banco Central do Brasil, autorizadas a operar no mercado de câmbio, devem adotar medidas para conhecer os procedimentos de prevenção </w:t>
            </w:r>
            <w:proofErr w:type="gramStart"/>
            <w:r>
              <w:rPr>
                <w:rFonts w:ascii="Lucida Console" w:hAnsi="Lucida Console"/>
                <w:sz w:val="19"/>
                <w:szCs w:val="19"/>
              </w:rPr>
              <w:t>a</w:t>
            </w:r>
            <w:proofErr w:type="gramEnd"/>
            <w:r>
              <w:rPr>
                <w:rFonts w:ascii="Lucida Console" w:hAnsi="Lucida Console"/>
                <w:sz w:val="19"/>
                <w:szCs w:val="19"/>
              </w:rPr>
              <w:t xml:space="preserve"> lavagem de dinheiro adotados pelo banco do exterior, contraparte na operação, de forma a cumprir com as recomendações do Grupo de Ação Financeira sobre Lavagem de Dinheiro (GAFI) e certificar-se de que não se trata de instituição que:</w:t>
            </w:r>
            <w:r>
              <w:rPr>
                <w:rFonts w:ascii="Lucida Console" w:hAnsi="Lucida Console"/>
                <w:sz w:val="19"/>
                <w:szCs w:val="19"/>
              </w:rPr>
              <w:br/>
            </w:r>
            <w:r>
              <w:rPr>
                <w:rFonts w:ascii="Lucida Console" w:hAnsi="Lucida Console"/>
                <w:sz w:val="19"/>
                <w:szCs w:val="19"/>
              </w:rPr>
              <w:br/>
              <w:t>a) não tenha presença física no país onde está constituída e licenciada; e</w:t>
            </w:r>
            <w:r>
              <w:rPr>
                <w:rFonts w:ascii="Lucida Console" w:hAnsi="Lucida Console"/>
                <w:sz w:val="19"/>
                <w:szCs w:val="19"/>
              </w:rPr>
              <w:br/>
            </w:r>
            <w:r>
              <w:rPr>
                <w:rFonts w:ascii="Lucida Console" w:hAnsi="Lucida Console"/>
                <w:sz w:val="19"/>
                <w:szCs w:val="19"/>
              </w:rPr>
              <w:br/>
              <w:t>b) não seja afiliada a nenhum grupo de serviços financeiros que seja objeto de efetiva supervisão. (NR</w:t>
            </w:r>
            <w:proofErr w:type="gramStart"/>
            <w:r>
              <w:rPr>
                <w:rFonts w:ascii="Lucida Console" w:hAnsi="Lucida Console"/>
                <w:sz w:val="19"/>
                <w:szCs w:val="19"/>
              </w:rPr>
              <w:t>)</w:t>
            </w:r>
            <w:proofErr w:type="gramEnd"/>
            <w:r>
              <w:rPr>
                <w:rFonts w:ascii="Lucida Console" w:hAnsi="Lucida Console"/>
                <w:sz w:val="19"/>
                <w:szCs w:val="19"/>
              </w:rPr>
              <w:br/>
            </w:r>
            <w:r>
              <w:rPr>
                <w:rFonts w:ascii="Lucida Console" w:hAnsi="Lucida Console"/>
                <w:sz w:val="19"/>
                <w:szCs w:val="19"/>
              </w:rPr>
              <w:br/>
              <w:t>----------------------------------------------------------------------</w:t>
            </w:r>
            <w:r>
              <w:rPr>
                <w:rFonts w:ascii="Lucida Console" w:hAnsi="Lucida Console"/>
                <w:sz w:val="19"/>
                <w:szCs w:val="19"/>
              </w:rPr>
              <w:br/>
              <w:t>REGULAMENTO DO MERCADO DE CÂMBIO E CAPITAIS INTERNACIONAIS</w:t>
            </w:r>
            <w:r>
              <w:rPr>
                <w:rFonts w:ascii="Lucida Console" w:hAnsi="Lucida Console"/>
                <w:sz w:val="19"/>
                <w:szCs w:val="19"/>
              </w:rPr>
              <w:br/>
              <w:t>TÍTULO: 1 - Mercado de Câmbio</w:t>
            </w:r>
            <w:r>
              <w:rPr>
                <w:rFonts w:ascii="Lucida Console" w:hAnsi="Lucida Console"/>
                <w:sz w:val="19"/>
                <w:szCs w:val="19"/>
              </w:rPr>
              <w:br/>
              <w:t>CAPÍTULO: 13 - Contas de Domiciliados no Exterior em Moeda Nacional e Transferências Internacionais em Reais</w:t>
            </w:r>
            <w:r>
              <w:rPr>
                <w:rFonts w:ascii="Lucida Console" w:hAnsi="Lucida Console"/>
                <w:sz w:val="19"/>
                <w:szCs w:val="19"/>
              </w:rPr>
              <w:br/>
              <w:t>SEÇÃO: 1 - Disposições Gerais</w:t>
            </w:r>
            <w:r>
              <w:rPr>
                <w:rFonts w:ascii="Lucida Console" w:hAnsi="Lucida Console"/>
                <w:sz w:val="19"/>
                <w:szCs w:val="19"/>
              </w:rPr>
              <w:br/>
              <w:t>----------------------------------------------------------------------</w:t>
            </w:r>
            <w:r>
              <w:rPr>
                <w:rFonts w:ascii="Lucida Console" w:hAnsi="Lucida Console"/>
                <w:sz w:val="19"/>
                <w:szCs w:val="19"/>
              </w:rPr>
              <w:br/>
            </w:r>
            <w:r>
              <w:rPr>
                <w:rFonts w:ascii="Lucida Console" w:hAnsi="Lucida Console"/>
                <w:sz w:val="19"/>
                <w:szCs w:val="19"/>
              </w:rPr>
              <w:br/>
              <w:t>1. As pessoas físicas ou jurídicas, residentes, domiciliadas ou com sede no exterior, podem ser titulares de contas de depósito em moeda nacional no País, exclusivamente em agências que operem em câmbio de instituições bancárias autorizadas a operar no mercado de câmbio, observadas as disposições deste capítulo.</w:t>
            </w:r>
            <w:r>
              <w:rPr>
                <w:rFonts w:ascii="Lucida Console" w:hAnsi="Lucida Console"/>
                <w:sz w:val="19"/>
                <w:szCs w:val="19"/>
              </w:rPr>
              <w:br/>
            </w:r>
            <w:r>
              <w:rPr>
                <w:rFonts w:ascii="Lucida Console" w:hAnsi="Lucida Console"/>
                <w:sz w:val="19"/>
                <w:szCs w:val="19"/>
              </w:rPr>
              <w:br/>
              <w:t>2. As contas de residentes, domiciliados ou com sede no exterior devem conter características que as diferenciem das demais contas de depósito, de modo a permitir sua pronta identificação.</w:t>
            </w:r>
            <w:r>
              <w:rPr>
                <w:rFonts w:ascii="Lucida Console" w:hAnsi="Lucida Console"/>
                <w:sz w:val="19"/>
                <w:szCs w:val="19"/>
              </w:rPr>
              <w:br/>
            </w:r>
            <w:r>
              <w:rPr>
                <w:rFonts w:ascii="Lucida Console" w:hAnsi="Lucida Console"/>
                <w:sz w:val="19"/>
                <w:szCs w:val="19"/>
              </w:rPr>
              <w:br/>
              <w:t>3. É obrigatório o cadastramento no Sistema de Informações Banco Central (</w:t>
            </w:r>
            <w:proofErr w:type="spellStart"/>
            <w:r>
              <w:rPr>
                <w:rFonts w:ascii="Lucida Console" w:hAnsi="Lucida Console"/>
                <w:sz w:val="19"/>
                <w:szCs w:val="19"/>
              </w:rPr>
              <w:t>Sisbacen</w:t>
            </w:r>
            <w:proofErr w:type="spellEnd"/>
            <w:r>
              <w:rPr>
                <w:rFonts w:ascii="Lucida Console" w:hAnsi="Lucida Console"/>
                <w:sz w:val="19"/>
                <w:szCs w:val="19"/>
              </w:rPr>
              <w:t xml:space="preserve">) de contas de depósito em moeda nacional, no País, tituladas por pessoas físicas ou jurídicas, residentes, domiciliadas ou com sede no exterior, na transação PCAM 260, opção </w:t>
            </w:r>
            <w:proofErr w:type="gramStart"/>
            <w:r>
              <w:rPr>
                <w:rFonts w:ascii="Lucida Console" w:hAnsi="Lucida Console"/>
                <w:sz w:val="19"/>
                <w:szCs w:val="19"/>
              </w:rPr>
              <w:t>1</w:t>
            </w:r>
            <w:proofErr w:type="gramEnd"/>
            <w:r>
              <w:rPr>
                <w:rFonts w:ascii="Lucida Console" w:hAnsi="Lucida Console"/>
                <w:sz w:val="19"/>
                <w:szCs w:val="19"/>
              </w:rPr>
              <w:t>, pelo banco depositário dos recursos.</w:t>
            </w:r>
            <w:r>
              <w:rPr>
                <w:rFonts w:ascii="Lucida Console" w:hAnsi="Lucida Console"/>
                <w:sz w:val="19"/>
                <w:szCs w:val="19"/>
              </w:rPr>
              <w:br/>
            </w:r>
            <w:r>
              <w:rPr>
                <w:rFonts w:ascii="Lucida Console" w:hAnsi="Lucida Console"/>
                <w:sz w:val="19"/>
                <w:szCs w:val="19"/>
              </w:rPr>
              <w:br/>
              <w:t>4. O cadastramento a que se refere o item anterior deve ser efetuado concomitantemente à abertura da conta.</w:t>
            </w:r>
            <w:r>
              <w:rPr>
                <w:rFonts w:ascii="Lucida Console" w:hAnsi="Lucida Console"/>
                <w:sz w:val="19"/>
                <w:szCs w:val="19"/>
              </w:rPr>
              <w:br/>
            </w:r>
            <w:r>
              <w:rPr>
                <w:rFonts w:ascii="Lucida Console" w:hAnsi="Lucida Console"/>
                <w:sz w:val="19"/>
                <w:szCs w:val="19"/>
              </w:rPr>
              <w:br/>
              <w:t xml:space="preserve">5. Para registrar os depósitos de que trata este capítulo, </w:t>
            </w:r>
            <w:proofErr w:type="gramStart"/>
            <w:r>
              <w:rPr>
                <w:rFonts w:ascii="Lucida Console" w:hAnsi="Lucida Console"/>
                <w:sz w:val="19"/>
                <w:szCs w:val="19"/>
              </w:rPr>
              <w:t>fica</w:t>
            </w:r>
            <w:proofErr w:type="gramEnd"/>
            <w:r>
              <w:rPr>
                <w:rFonts w:ascii="Lucida Console" w:hAnsi="Lucida Console"/>
                <w:sz w:val="19"/>
                <w:szCs w:val="19"/>
              </w:rPr>
              <w:t xml:space="preserve"> mantido, no Plano Contábil das Instituições do Sistema Financeiro Nacional (COSIF), o título "4.1.1.60.00-2 - DEPÓSITOS DE DOMICILIADOS </w:t>
            </w:r>
            <w:r>
              <w:rPr>
                <w:rFonts w:ascii="Lucida Console" w:hAnsi="Lucida Console"/>
                <w:sz w:val="19"/>
                <w:szCs w:val="19"/>
              </w:rPr>
              <w:lastRenderedPageBreak/>
              <w:t>NO EXTERIOR", e seus subtítulos com as seguintes nomenclaturas:</w:t>
            </w:r>
            <w:r>
              <w:rPr>
                <w:rFonts w:ascii="Lucida Console" w:hAnsi="Lucida Console"/>
                <w:sz w:val="19"/>
                <w:szCs w:val="19"/>
              </w:rPr>
              <w:br/>
            </w:r>
            <w:r>
              <w:rPr>
                <w:rFonts w:ascii="Lucida Console" w:hAnsi="Lucida Console"/>
                <w:sz w:val="19"/>
                <w:szCs w:val="19"/>
              </w:rPr>
              <w:br/>
              <w:t>a) 4.1.1.60.10-5 - "Provenientes de Vendas de Câmbio";</w:t>
            </w:r>
            <w:r>
              <w:rPr>
                <w:rFonts w:ascii="Lucida Console" w:hAnsi="Lucida Console"/>
                <w:sz w:val="19"/>
                <w:szCs w:val="19"/>
              </w:rPr>
              <w:br/>
            </w:r>
            <w:r>
              <w:rPr>
                <w:rFonts w:ascii="Lucida Console" w:hAnsi="Lucida Console"/>
                <w:sz w:val="19"/>
                <w:szCs w:val="19"/>
              </w:rPr>
              <w:br/>
              <w:t>b) 4.1.1.60.20-8 - "De Outras Origens"; e</w:t>
            </w:r>
            <w:r>
              <w:rPr>
                <w:rFonts w:ascii="Lucida Console" w:hAnsi="Lucida Console"/>
                <w:sz w:val="19"/>
                <w:szCs w:val="19"/>
              </w:rPr>
              <w:br/>
            </w:r>
            <w:r>
              <w:rPr>
                <w:rFonts w:ascii="Lucida Console" w:hAnsi="Lucida Console"/>
                <w:sz w:val="19"/>
                <w:szCs w:val="19"/>
              </w:rPr>
              <w:br/>
              <w:t>c) 4.1.1.60.30-1 - "De Instituições Financeiras".</w:t>
            </w:r>
            <w:r>
              <w:rPr>
                <w:rFonts w:ascii="Lucida Console" w:hAnsi="Lucida Console"/>
                <w:sz w:val="19"/>
                <w:szCs w:val="19"/>
              </w:rPr>
              <w:br/>
            </w:r>
            <w:r>
              <w:rPr>
                <w:rFonts w:ascii="Lucida Console" w:hAnsi="Lucida Console"/>
                <w:sz w:val="19"/>
                <w:szCs w:val="19"/>
              </w:rPr>
              <w:br/>
              <w:t>6. No subtítulo "Provenientes de Vendas de Câmbio", qualquer movimentação a crédito somente pode resultar do efetivo ingresso de moeda estrangeira no País, pela liquidação de operações de câmbio com o banco depositário da conta, devendo constar do histórico da partida contábil o número da operação de câmbio correspondente.</w:t>
            </w:r>
            <w:r>
              <w:rPr>
                <w:rFonts w:ascii="Lucida Console" w:hAnsi="Lucida Console"/>
                <w:sz w:val="19"/>
                <w:szCs w:val="19"/>
              </w:rPr>
              <w:br/>
            </w:r>
            <w:r>
              <w:rPr>
                <w:rFonts w:ascii="Lucida Console" w:hAnsi="Lucida Console"/>
                <w:sz w:val="19"/>
                <w:szCs w:val="19"/>
              </w:rPr>
              <w:br/>
              <w:t>7. Eventuais redepósitos de recursos em reais, originalmente decorrentes de saques ou de transferências efetuados a débito do referido subtítulo, devem ser registrados a crédito do subtítulo "De Outras Origens".</w:t>
            </w:r>
            <w:r>
              <w:rPr>
                <w:rFonts w:ascii="Lucida Console" w:hAnsi="Lucida Console"/>
                <w:sz w:val="19"/>
                <w:szCs w:val="19"/>
              </w:rPr>
              <w:br/>
            </w:r>
            <w:r>
              <w:rPr>
                <w:rFonts w:ascii="Lucida Console" w:hAnsi="Lucida Console"/>
                <w:sz w:val="19"/>
                <w:szCs w:val="19"/>
              </w:rPr>
              <w:br/>
              <w:t xml:space="preserve">8. O subtítulo "De Instituições Financeiras" restringe-se aos registros contábeis de contas tituladas por bancos do exterior que mantenham relação de correspondência com o banco brasileiro depositário dos recursos, exercida de forma habitual, expressiva e recíproca, ou possuam com este relação inequívoca de vínculo decorrente de controle de </w:t>
            </w:r>
            <w:proofErr w:type="gramStart"/>
            <w:r>
              <w:rPr>
                <w:rFonts w:ascii="Lucida Console" w:hAnsi="Lucida Console"/>
                <w:sz w:val="19"/>
                <w:szCs w:val="19"/>
              </w:rPr>
              <w:t>capital, compreendidas</w:t>
            </w:r>
            <w:proofErr w:type="gramEnd"/>
            <w:r>
              <w:rPr>
                <w:rFonts w:ascii="Lucida Console" w:hAnsi="Lucida Console"/>
                <w:sz w:val="19"/>
                <w:szCs w:val="19"/>
              </w:rPr>
              <w:t xml:space="preserve"> as instituições controladas ou controladoras, bem como aquelas sob controle comum exercido de forma direta.</w:t>
            </w:r>
            <w:r>
              <w:rPr>
                <w:rFonts w:ascii="Lucida Console" w:hAnsi="Lucida Console"/>
                <w:sz w:val="19"/>
                <w:szCs w:val="19"/>
              </w:rPr>
              <w:br/>
            </w:r>
            <w:r>
              <w:rPr>
                <w:rFonts w:ascii="Lucida Console" w:hAnsi="Lucida Console"/>
                <w:sz w:val="19"/>
                <w:szCs w:val="19"/>
              </w:rPr>
              <w:br/>
              <w:t>9. As disposições do item anterior abrangem também as agências no exterior de bancos brasileiros e de bancos estrangeiros autorizados a funcionar no País.</w:t>
            </w:r>
            <w:r>
              <w:rPr>
                <w:rFonts w:ascii="Lucida Console" w:hAnsi="Lucida Console"/>
                <w:sz w:val="19"/>
                <w:szCs w:val="19"/>
              </w:rPr>
              <w:br/>
            </w:r>
            <w:r>
              <w:rPr>
                <w:rFonts w:ascii="Lucida Console" w:hAnsi="Lucida Console"/>
                <w:sz w:val="19"/>
                <w:szCs w:val="19"/>
              </w:rPr>
              <w:br/>
              <w:t xml:space="preserve">9-A As instituições financeiras, no que se refere às relações </w:t>
            </w:r>
            <w:proofErr w:type="spellStart"/>
            <w:r>
              <w:rPr>
                <w:rFonts w:ascii="Lucida Console" w:hAnsi="Lucida Console"/>
                <w:sz w:val="19"/>
                <w:szCs w:val="19"/>
              </w:rPr>
              <w:t>transfronteriças</w:t>
            </w:r>
            <w:proofErr w:type="spellEnd"/>
            <w:r>
              <w:rPr>
                <w:rFonts w:ascii="Lucida Console" w:hAnsi="Lucida Console"/>
                <w:sz w:val="19"/>
                <w:szCs w:val="19"/>
              </w:rPr>
              <w:t xml:space="preserve"> entre bancos correspondentes e a outras relações semelhantes, devem:</w:t>
            </w:r>
            <w:r>
              <w:rPr>
                <w:rFonts w:ascii="Lucida Console" w:hAnsi="Lucida Console"/>
                <w:sz w:val="19"/>
                <w:szCs w:val="19"/>
              </w:rPr>
              <w:br/>
            </w:r>
            <w:r>
              <w:rPr>
                <w:rFonts w:ascii="Lucida Console" w:hAnsi="Lucida Console"/>
                <w:sz w:val="19"/>
                <w:szCs w:val="19"/>
              </w:rPr>
              <w:br/>
              <w:t>a) obter informação suficiente sobre a instituição correspondente de forma a compreender plenamente a natureza de sua atividade e conhecer, a partir de informações publicamente disponíveis, a reputação da instituição e a qualidade da sua supervisão, incluindo se a instituição foi objeto de uma investigação ou de uma ação de autoridade de supervisão, relacionada com a lavagem de dinheiro ou com o financiamento do terrorismo, e certificar-se de que não se trata de instituição que:</w:t>
            </w:r>
            <w:r>
              <w:rPr>
                <w:rFonts w:ascii="Lucida Console" w:hAnsi="Lucida Console"/>
                <w:sz w:val="19"/>
                <w:szCs w:val="19"/>
              </w:rPr>
              <w:br/>
            </w:r>
            <w:r>
              <w:rPr>
                <w:rFonts w:ascii="Lucida Console" w:hAnsi="Lucida Console"/>
                <w:sz w:val="19"/>
                <w:szCs w:val="19"/>
              </w:rPr>
              <w:br/>
              <w:t>I - não tenha presença física no país onde está constituída e licenciada; e</w:t>
            </w:r>
            <w:r>
              <w:rPr>
                <w:rFonts w:ascii="Lucida Console" w:hAnsi="Lucida Console"/>
                <w:sz w:val="19"/>
                <w:szCs w:val="19"/>
              </w:rPr>
              <w:br/>
            </w:r>
            <w:r>
              <w:rPr>
                <w:rFonts w:ascii="Lucida Console" w:hAnsi="Lucida Console"/>
                <w:sz w:val="19"/>
                <w:szCs w:val="19"/>
              </w:rPr>
              <w:br/>
              <w:t>II - não seja afiliada a nenhum grupo de serviços financeiros que seja objeto de efetiva supervisão.</w:t>
            </w:r>
            <w:r>
              <w:rPr>
                <w:rFonts w:ascii="Lucida Console" w:hAnsi="Lucida Console"/>
                <w:sz w:val="19"/>
                <w:szCs w:val="19"/>
              </w:rPr>
              <w:br/>
            </w:r>
            <w:r>
              <w:rPr>
                <w:rFonts w:ascii="Lucida Console" w:hAnsi="Lucida Console"/>
                <w:sz w:val="19"/>
                <w:szCs w:val="19"/>
              </w:rPr>
              <w:br/>
              <w:t xml:space="preserve">b) avaliar os controles adotados pela instituição </w:t>
            </w:r>
            <w:proofErr w:type="gramStart"/>
            <w:r>
              <w:rPr>
                <w:rFonts w:ascii="Lucida Console" w:hAnsi="Lucida Console"/>
                <w:sz w:val="19"/>
                <w:szCs w:val="19"/>
              </w:rPr>
              <w:t>correspondente destinados ao combate à lavagem de dinheiro e ao financiamento do terrorismo</w:t>
            </w:r>
            <w:proofErr w:type="gramEnd"/>
            <w:r>
              <w:rPr>
                <w:rFonts w:ascii="Lucida Console" w:hAnsi="Lucida Console"/>
                <w:sz w:val="19"/>
                <w:szCs w:val="19"/>
              </w:rPr>
              <w:t>;</w:t>
            </w:r>
            <w:r>
              <w:rPr>
                <w:rFonts w:ascii="Lucida Console" w:hAnsi="Lucida Console"/>
                <w:sz w:val="19"/>
                <w:szCs w:val="19"/>
              </w:rPr>
              <w:br/>
            </w:r>
            <w:r>
              <w:rPr>
                <w:rFonts w:ascii="Lucida Console" w:hAnsi="Lucida Console"/>
                <w:sz w:val="19"/>
                <w:szCs w:val="19"/>
              </w:rPr>
              <w:br/>
              <w:t>c) obter aprovação do diretor responsável pelas operações relacionadas ao mercado de câmbio antes de estabelecer novas relações de correspondência;</w:t>
            </w:r>
            <w:r>
              <w:rPr>
                <w:rFonts w:ascii="Lucida Console" w:hAnsi="Lucida Console"/>
                <w:sz w:val="19"/>
                <w:szCs w:val="19"/>
              </w:rPr>
              <w:br/>
            </w:r>
            <w:r>
              <w:rPr>
                <w:rFonts w:ascii="Lucida Console" w:hAnsi="Lucida Console"/>
                <w:sz w:val="19"/>
                <w:szCs w:val="19"/>
              </w:rPr>
              <w:br/>
              <w:t>d) documentar as responsabilidades respectivas de cada instituição quanto ao combate à lavagem de dinheiro e ao financiamento do terrorismo. (NR</w:t>
            </w:r>
            <w:proofErr w:type="gramStart"/>
            <w:r>
              <w:rPr>
                <w:rFonts w:ascii="Lucida Console" w:hAnsi="Lucida Console"/>
                <w:sz w:val="19"/>
                <w:szCs w:val="19"/>
              </w:rPr>
              <w:t>)</w:t>
            </w:r>
            <w:proofErr w:type="gramEnd"/>
            <w:r>
              <w:rPr>
                <w:rFonts w:ascii="Lucida Console" w:hAnsi="Lucida Console"/>
                <w:sz w:val="19"/>
                <w:szCs w:val="19"/>
              </w:rPr>
              <w:br/>
            </w:r>
            <w:r>
              <w:rPr>
                <w:rFonts w:ascii="Lucida Console" w:hAnsi="Lucida Console"/>
                <w:sz w:val="19"/>
                <w:szCs w:val="19"/>
              </w:rPr>
              <w:br/>
              <w:t xml:space="preserve">10. As instituições financeiras que não se enquadrem no disposto nos itens </w:t>
            </w:r>
            <w:proofErr w:type="gramStart"/>
            <w:r>
              <w:rPr>
                <w:rFonts w:ascii="Lucida Console" w:hAnsi="Lucida Console"/>
                <w:sz w:val="19"/>
                <w:szCs w:val="19"/>
              </w:rPr>
              <w:t>8</w:t>
            </w:r>
            <w:proofErr w:type="gramEnd"/>
            <w:r>
              <w:rPr>
                <w:rFonts w:ascii="Lucida Console" w:hAnsi="Lucida Console"/>
                <w:sz w:val="19"/>
                <w:szCs w:val="19"/>
              </w:rPr>
              <w:t xml:space="preserve"> e 9 só podem ser titulares de contas com subtítulos "Provenientes de Vendas de Câmbio" ou "De Outras Origens".</w:t>
            </w:r>
            <w:r>
              <w:rPr>
                <w:rFonts w:ascii="Lucida Console" w:hAnsi="Lucida Console"/>
                <w:sz w:val="19"/>
                <w:szCs w:val="19"/>
              </w:rPr>
              <w:br/>
            </w:r>
            <w:r>
              <w:rPr>
                <w:rFonts w:ascii="Lucida Console" w:hAnsi="Lucida Console"/>
                <w:sz w:val="19"/>
                <w:szCs w:val="19"/>
              </w:rPr>
              <w:br/>
              <w:t xml:space="preserve">11. Devem ser observadas nas transferências internacionais em reais, no que </w:t>
            </w:r>
            <w:proofErr w:type="gramStart"/>
            <w:r>
              <w:rPr>
                <w:rFonts w:ascii="Lucida Console" w:hAnsi="Lucida Console"/>
                <w:sz w:val="19"/>
                <w:szCs w:val="19"/>
              </w:rPr>
              <w:t>couber</w:t>
            </w:r>
            <w:proofErr w:type="gramEnd"/>
            <w:r>
              <w:rPr>
                <w:rFonts w:ascii="Lucida Console" w:hAnsi="Lucida Console"/>
                <w:sz w:val="19"/>
                <w:szCs w:val="19"/>
              </w:rPr>
              <w:t>, os mesmos critérios, disposições e exigências estabelecidos para as operações de câmbio em geral e as orientações específicas previstas neste capítulo.</w:t>
            </w:r>
            <w:r>
              <w:rPr>
                <w:rFonts w:ascii="Lucida Console" w:hAnsi="Lucida Console"/>
                <w:sz w:val="19"/>
                <w:szCs w:val="19"/>
              </w:rPr>
              <w:br/>
            </w:r>
            <w:r>
              <w:rPr>
                <w:rFonts w:ascii="Lucida Console" w:hAnsi="Lucida Console"/>
                <w:sz w:val="19"/>
                <w:szCs w:val="19"/>
              </w:rPr>
              <w:br/>
              <w:t xml:space="preserve">12. As transferências internacionais do e para o exterior em moeda </w:t>
            </w:r>
            <w:r>
              <w:rPr>
                <w:rFonts w:ascii="Lucida Console" w:hAnsi="Lucida Console"/>
                <w:sz w:val="19"/>
                <w:szCs w:val="19"/>
              </w:rPr>
              <w:lastRenderedPageBreak/>
              <w:t>nacional, de valor igual ou superior a R$10.000,00 (dez mil reais), sujeitam-se à comprovação documental a ser prestada ao banco no qual é movimentada a conta de domiciliados no exterior.</w:t>
            </w:r>
            <w:r>
              <w:rPr>
                <w:rFonts w:ascii="Lucida Console" w:hAnsi="Lucida Console"/>
                <w:sz w:val="19"/>
                <w:szCs w:val="19"/>
              </w:rPr>
              <w:br/>
            </w:r>
            <w:r>
              <w:rPr>
                <w:rFonts w:ascii="Lucida Console" w:hAnsi="Lucida Console"/>
                <w:sz w:val="19"/>
                <w:szCs w:val="19"/>
              </w:rPr>
              <w:br/>
              <w:t>13. Cumpre aos bancos depositários adotar, com relação aos documentos que respaldam as transferências internacionais em reais, todos os procedimentos prudenciais necessários a evitar a sua reutilização e consequente duplicidade de efeitos, tanto para novas transferências em moeda nacional como para acesso ao mercado de câmbio, bem como exigir a apresentação dos comprovantes de quitação dos tributos incidentes sobre a operação.</w:t>
            </w:r>
            <w:r>
              <w:rPr>
                <w:rFonts w:ascii="Lucida Console" w:hAnsi="Lucida Console"/>
                <w:sz w:val="19"/>
                <w:szCs w:val="19"/>
              </w:rPr>
              <w:br/>
            </w:r>
            <w:r>
              <w:rPr>
                <w:rFonts w:ascii="Lucida Console" w:hAnsi="Lucida Console"/>
                <w:sz w:val="19"/>
                <w:szCs w:val="19"/>
              </w:rPr>
              <w:br/>
              <w:t>14. Podem ser livremente convertidos em moeda estrangeira, para remessa ao exterior, os saldos dos recursos próprios existentes nas contas de pessoas físicas ou jurídicas, residentes, domiciliados ou com sede no exterior, independentemente do subtítulo, vedada a sua utilização para conversão em moeda estrangeira de recursos de terceiros.</w:t>
            </w:r>
            <w:r>
              <w:rPr>
                <w:rFonts w:ascii="Lucida Console" w:hAnsi="Lucida Console"/>
                <w:sz w:val="19"/>
                <w:szCs w:val="19"/>
              </w:rPr>
              <w:br/>
            </w:r>
            <w:r>
              <w:rPr>
                <w:rFonts w:ascii="Lucida Console" w:hAnsi="Lucida Console"/>
                <w:sz w:val="19"/>
                <w:szCs w:val="19"/>
              </w:rPr>
              <w:br/>
              <w:t>15. As operações de câmbio relativas ao ingresso e ao retorno ao exterior de recursos registrados nas contas de que trata este capítulo são privativas da instituição bancária autorizada a operar no mercado de câmbio depositária dos recursos, devendo ser classificadas da seguinte forma:</w:t>
            </w:r>
            <w:r>
              <w:rPr>
                <w:rFonts w:ascii="Lucida Console" w:hAnsi="Lucida Console"/>
                <w:sz w:val="19"/>
                <w:szCs w:val="19"/>
              </w:rPr>
              <w:br/>
            </w:r>
            <w:r>
              <w:rPr>
                <w:rFonts w:ascii="Lucida Console" w:hAnsi="Lucida Console"/>
                <w:sz w:val="19"/>
                <w:szCs w:val="19"/>
              </w:rPr>
              <w:br/>
              <w:t>a) caso o remetente ou o beneficiário no exterior não seja o próprio titular da conta: sob o fato-natureza específico correspondente ao tipo de operação negociada;</w:t>
            </w:r>
            <w:r>
              <w:rPr>
                <w:rFonts w:ascii="Lucida Console" w:hAnsi="Lucida Console"/>
                <w:sz w:val="19"/>
                <w:szCs w:val="19"/>
              </w:rPr>
              <w:br/>
            </w:r>
            <w:r>
              <w:rPr>
                <w:rFonts w:ascii="Lucida Console" w:hAnsi="Lucida Console"/>
                <w:sz w:val="19"/>
                <w:szCs w:val="19"/>
              </w:rPr>
              <w:br/>
              <w:t xml:space="preserve">b) caso o remetente ou o beneficiário no exterior seja o próprio titular da conta: sob o fato-natureza "63009 - Capitais Estrangeiros </w:t>
            </w:r>
            <w:proofErr w:type="gramStart"/>
            <w:r>
              <w:rPr>
                <w:rFonts w:ascii="Lucida Console" w:hAnsi="Lucida Console"/>
                <w:sz w:val="19"/>
                <w:szCs w:val="19"/>
              </w:rPr>
              <w:t>a Curto Prazo</w:t>
            </w:r>
            <w:proofErr w:type="gramEnd"/>
            <w:r>
              <w:rPr>
                <w:rFonts w:ascii="Lucida Console" w:hAnsi="Lucida Console"/>
                <w:sz w:val="19"/>
                <w:szCs w:val="19"/>
              </w:rPr>
              <w:t xml:space="preserve"> - Disponibilidade no País".</w:t>
            </w:r>
            <w:r>
              <w:rPr>
                <w:rFonts w:ascii="Lucida Console" w:hAnsi="Lucida Console"/>
                <w:sz w:val="19"/>
                <w:szCs w:val="19"/>
              </w:rPr>
              <w:br/>
            </w:r>
            <w:r>
              <w:rPr>
                <w:rFonts w:ascii="Lucida Console" w:hAnsi="Lucida Console"/>
                <w:sz w:val="19"/>
                <w:szCs w:val="19"/>
              </w:rPr>
              <w:br/>
              <w:t xml:space="preserve">16. É vedada a utilização das contas de residentes, domiciliados ou com </w:t>
            </w:r>
            <w:proofErr w:type="gramStart"/>
            <w:r>
              <w:rPr>
                <w:rFonts w:ascii="Lucida Console" w:hAnsi="Lucida Console"/>
                <w:sz w:val="19"/>
                <w:szCs w:val="19"/>
              </w:rPr>
              <w:t>sede no exterior tituladas pelas instituições financeiras do exterior</w:t>
            </w:r>
            <w:proofErr w:type="gramEnd"/>
            <w:r>
              <w:rPr>
                <w:rFonts w:ascii="Lucida Console" w:hAnsi="Lucida Console"/>
                <w:sz w:val="19"/>
                <w:szCs w:val="19"/>
              </w:rPr>
              <w:t xml:space="preserve"> de que tratam os itens 8 e 9 para a realização de transferência internacional em reais de interesse de terceiros, com exceção da situação prevista na seção 3 deste capítulo.</w:t>
            </w:r>
            <w:r>
              <w:rPr>
                <w:rFonts w:ascii="Lucida Console" w:hAnsi="Lucida Console"/>
                <w:sz w:val="19"/>
                <w:szCs w:val="19"/>
              </w:rPr>
              <w:br/>
            </w:r>
            <w:r>
              <w:rPr>
                <w:rFonts w:ascii="Lucida Console" w:hAnsi="Lucida Console"/>
                <w:sz w:val="19"/>
                <w:szCs w:val="19"/>
              </w:rPr>
              <w:br/>
              <w:t>17. É vedada a utilização das contas de pessoas físicas ou jurídicas residentes, domiciliadas ou com sede no exterior para a realização de transferência internacional em reais de interesse de terceiros.</w:t>
            </w:r>
            <w:r>
              <w:rPr>
                <w:rFonts w:ascii="Lucida Console" w:hAnsi="Lucida Console"/>
                <w:sz w:val="19"/>
                <w:szCs w:val="19"/>
              </w:rPr>
              <w:br/>
            </w:r>
            <w:r>
              <w:rPr>
                <w:rFonts w:ascii="Lucida Console" w:hAnsi="Lucida Console"/>
                <w:sz w:val="19"/>
                <w:szCs w:val="19"/>
              </w:rPr>
              <w:br/>
              <w:t xml:space="preserve">18. Nas transferências amparadas em registros, em autorizações ou certificados emitidos pelo Banco Central do Brasil, o número do respectivo documento ou do registro deve ser consignado no campo "Outras Especificações" da tela de registro do </w:t>
            </w:r>
            <w:proofErr w:type="spellStart"/>
            <w:r>
              <w:rPr>
                <w:rFonts w:ascii="Lucida Console" w:hAnsi="Lucida Console"/>
                <w:sz w:val="19"/>
                <w:szCs w:val="19"/>
              </w:rPr>
              <w:t>Sisbacen</w:t>
            </w:r>
            <w:proofErr w:type="spellEnd"/>
            <w:r>
              <w:rPr>
                <w:rFonts w:ascii="Lucida Console" w:hAnsi="Lucida Console"/>
                <w:sz w:val="19"/>
                <w:szCs w:val="19"/>
              </w:rPr>
              <w:t>.</w:t>
            </w:r>
            <w:r>
              <w:rPr>
                <w:rFonts w:ascii="Lucida Console" w:hAnsi="Lucida Console"/>
                <w:sz w:val="19"/>
                <w:szCs w:val="19"/>
              </w:rPr>
              <w:br/>
            </w:r>
            <w:r>
              <w:rPr>
                <w:rFonts w:ascii="Lucida Console" w:hAnsi="Lucida Console"/>
                <w:sz w:val="19"/>
                <w:szCs w:val="19"/>
              </w:rPr>
              <w:br/>
              <w:t>19. (Revogado) Circular 3.493/2010</w:t>
            </w:r>
            <w:r>
              <w:rPr>
                <w:rFonts w:ascii="Lucida Console" w:hAnsi="Lucida Console"/>
                <w:sz w:val="19"/>
                <w:szCs w:val="19"/>
              </w:rPr>
              <w:br/>
            </w:r>
            <w:r>
              <w:rPr>
                <w:rFonts w:ascii="Lucida Console" w:hAnsi="Lucida Console"/>
                <w:sz w:val="19"/>
                <w:szCs w:val="19"/>
              </w:rPr>
              <w:br/>
              <w:t>20. (Revogado) Circular 3.493/2010</w:t>
            </w:r>
            <w:r>
              <w:rPr>
                <w:rFonts w:ascii="Lucida Console" w:hAnsi="Lucida Console"/>
                <w:sz w:val="19"/>
                <w:szCs w:val="19"/>
              </w:rPr>
              <w:br/>
            </w:r>
            <w:r>
              <w:rPr>
                <w:rFonts w:ascii="Lucida Console" w:hAnsi="Lucida Console"/>
                <w:sz w:val="19"/>
                <w:szCs w:val="19"/>
              </w:rPr>
              <w:br/>
              <w:t>21. (Revogado) Circular 3.493/2010</w:t>
            </w:r>
            <w:r>
              <w:rPr>
                <w:rFonts w:ascii="Lucida Console" w:hAnsi="Lucida Console"/>
                <w:sz w:val="19"/>
                <w:szCs w:val="19"/>
              </w:rPr>
              <w:br/>
            </w:r>
            <w:r>
              <w:rPr>
                <w:rFonts w:ascii="Lucida Console" w:hAnsi="Lucida Console"/>
                <w:sz w:val="19"/>
                <w:szCs w:val="19"/>
              </w:rPr>
              <w:br/>
              <w:t>22. (Revogado) Circular 3.493/2010</w:t>
            </w:r>
          </w:p>
        </w:tc>
      </w:tr>
    </w:tbl>
    <w:p w:rsidR="00B819F1" w:rsidRDefault="00B819F1"/>
    <w:sectPr w:rsidR="00B819F1" w:rsidSect="00B819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2D02"/>
    <w:rsid w:val="00062A03"/>
    <w:rsid w:val="000B2D02"/>
    <w:rsid w:val="003D7DE2"/>
    <w:rsid w:val="0072398B"/>
    <w:rsid w:val="00B81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02"/>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26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1865</Words>
  <Characters>10071</Characters>
  <Application>Microsoft Office Word</Application>
  <DocSecurity>0</DocSecurity>
  <Lines>83</Lines>
  <Paragraphs>23</Paragraphs>
  <ScaleCrop>false</ScaleCrop>
  <Company>Microsoft</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eloisa</dc:creator>
  <cp:lastModifiedBy>eloisa</cp:lastModifiedBy>
  <cp:revision>4</cp:revision>
  <dcterms:created xsi:type="dcterms:W3CDTF">2012-03-14T14:22:00Z</dcterms:created>
  <dcterms:modified xsi:type="dcterms:W3CDTF">2012-03-14T14:25:00Z</dcterms:modified>
</cp:coreProperties>
</file>