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B7" w:rsidRPr="008417FF" w:rsidRDefault="008417FF">
      <w:pPr>
        <w:rPr>
          <w:rFonts w:ascii="Courier New" w:hAnsi="Courier New" w:cs="Courier New"/>
          <w:sz w:val="18"/>
          <w:szCs w:val="18"/>
        </w:rPr>
      </w:pPr>
      <w:r w:rsidRPr="008417FF">
        <w:rPr>
          <w:rFonts w:ascii="Courier New" w:hAnsi="Courier New" w:cs="Courier New"/>
          <w:b/>
          <w:sz w:val="18"/>
          <w:szCs w:val="18"/>
        </w:rPr>
        <w:t xml:space="preserve">                        RESOLUCAO 4.033                              </w:t>
      </w:r>
      <w:r w:rsidRPr="008417FF">
        <w:rPr>
          <w:rFonts w:ascii="Courier New" w:hAnsi="Courier New" w:cs="Courier New"/>
          <w:b/>
          <w:sz w:val="18"/>
          <w:szCs w:val="18"/>
        </w:rPr>
        <w:br/>
        <w:t xml:space="preserve">                        ---------------                              </w:t>
      </w:r>
      <w:r w:rsidRPr="008417FF">
        <w:rPr>
          <w:rFonts w:ascii="Courier New" w:hAnsi="Courier New" w:cs="Courier New"/>
          <w:b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b/>
          <w:sz w:val="18"/>
          <w:szCs w:val="18"/>
        </w:rPr>
        <w:br/>
        <w:t xml:space="preserve">                                 Dispõe</w:t>
      </w:r>
      <w:proofErr w:type="gramStart"/>
      <w:r w:rsidRPr="008417FF">
        <w:rPr>
          <w:rFonts w:ascii="Courier New" w:hAnsi="Courier New" w:cs="Courier New"/>
          <w:b/>
          <w:sz w:val="18"/>
          <w:szCs w:val="18"/>
        </w:rPr>
        <w:t xml:space="preserve">   </w:t>
      </w:r>
      <w:proofErr w:type="gramEnd"/>
      <w:r w:rsidRPr="008417FF">
        <w:rPr>
          <w:rFonts w:ascii="Courier New" w:hAnsi="Courier New" w:cs="Courier New"/>
          <w:b/>
          <w:sz w:val="18"/>
          <w:szCs w:val="18"/>
        </w:rPr>
        <w:t>sobre   a   aplicação    no</w:t>
      </w:r>
      <w:r w:rsidRPr="008417FF">
        <w:rPr>
          <w:rFonts w:ascii="Courier New" w:hAnsi="Courier New" w:cs="Courier New"/>
          <w:b/>
          <w:sz w:val="18"/>
          <w:szCs w:val="18"/>
        </w:rPr>
        <w:br/>
        <w:t xml:space="preserve">                                 exterior  das  disponibilidades   em</w:t>
      </w:r>
      <w:r w:rsidRPr="008417FF">
        <w:rPr>
          <w:rFonts w:ascii="Courier New" w:hAnsi="Courier New" w:cs="Courier New"/>
          <w:b/>
          <w:sz w:val="18"/>
          <w:szCs w:val="18"/>
        </w:rPr>
        <w:br/>
        <w:t xml:space="preserve">                                 moeda    estrangeira   dos    bancos</w:t>
      </w:r>
      <w:r w:rsidRPr="008417FF">
        <w:rPr>
          <w:rFonts w:ascii="Courier New" w:hAnsi="Courier New" w:cs="Courier New"/>
          <w:b/>
          <w:sz w:val="18"/>
          <w:szCs w:val="18"/>
        </w:rPr>
        <w:br/>
        <w:t xml:space="preserve">                                 autorizados a operar no  mercado  de</w:t>
      </w:r>
      <w:r w:rsidRPr="008417FF">
        <w:rPr>
          <w:rFonts w:ascii="Courier New" w:hAnsi="Courier New" w:cs="Courier New"/>
          <w:b/>
          <w:sz w:val="18"/>
          <w:szCs w:val="18"/>
        </w:rPr>
        <w:br/>
        <w:t xml:space="preserve">                                 câmbio   e   sobre  a  captação   de</w:t>
      </w:r>
      <w:r w:rsidRPr="008417FF">
        <w:rPr>
          <w:rFonts w:ascii="Courier New" w:hAnsi="Courier New" w:cs="Courier New"/>
          <w:b/>
          <w:sz w:val="18"/>
          <w:szCs w:val="18"/>
        </w:rPr>
        <w:br/>
        <w:t xml:space="preserve">                                 recursos    externos     para     as</w:t>
      </w:r>
      <w:r w:rsidRPr="008417FF">
        <w:rPr>
          <w:rFonts w:ascii="Courier New" w:hAnsi="Courier New" w:cs="Courier New"/>
          <w:b/>
          <w:sz w:val="18"/>
          <w:szCs w:val="18"/>
        </w:rPr>
        <w:br/>
        <w:t xml:space="preserve">                                 finalidades que especifica.</w:t>
      </w:r>
      <w:r w:rsidRPr="008417FF">
        <w:rPr>
          <w:rFonts w:ascii="Courier New" w:hAnsi="Courier New" w:cs="Courier New"/>
          <w:sz w:val="18"/>
          <w:szCs w:val="18"/>
        </w:rPr>
        <w:t xml:space="preserve">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O</w:t>
      </w:r>
      <w:proofErr w:type="gramStart"/>
      <w:r w:rsidRPr="008417FF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Pr="008417FF">
        <w:rPr>
          <w:rFonts w:ascii="Courier New" w:hAnsi="Courier New" w:cs="Courier New"/>
          <w:sz w:val="18"/>
          <w:szCs w:val="18"/>
        </w:rPr>
        <w:t>Banco  Central do Brasil, na forma do art. 9º da  Lei  nº</w:t>
      </w:r>
      <w:r w:rsidRPr="008417FF">
        <w:rPr>
          <w:rFonts w:ascii="Courier New" w:hAnsi="Courier New" w:cs="Courier New"/>
          <w:sz w:val="18"/>
          <w:szCs w:val="18"/>
        </w:rPr>
        <w:br/>
        <w:t>4.595,  de  31  de  dezembro de 1964, torna público  que  o  Conselho</w:t>
      </w:r>
      <w:r w:rsidRPr="008417FF">
        <w:rPr>
          <w:rFonts w:ascii="Courier New" w:hAnsi="Courier New" w:cs="Courier New"/>
          <w:sz w:val="18"/>
          <w:szCs w:val="18"/>
        </w:rPr>
        <w:br/>
        <w:t>Monetário  Nacional, em sessão realizada em 29 de novembro  de  2011,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com base no art. 4º, incisos V, VIII e XXXI, da referida Lei,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R E S O L V E U :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Art.  1º   A  aplicação  no exterior de disponibilidades  em</w:t>
      </w:r>
      <w:r w:rsidRPr="008417FF">
        <w:rPr>
          <w:rFonts w:ascii="Courier New" w:hAnsi="Courier New" w:cs="Courier New"/>
          <w:sz w:val="18"/>
          <w:szCs w:val="18"/>
        </w:rPr>
        <w:br/>
        <w:t>moeda estrangeira de bancos autorizados a operar no mercado de câmbio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deve limitar-se às seguintes modalidades: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I - títulos de emissão do governo brasileiro;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II  -  títulos  de  dívida soberana  emitidos  por  governos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estrangeiros;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III   -  títulos  de  emissão  ou  de  responsabilidade   de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instituição financeira;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IV - depósitos a prazo em instituição financeira.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Parágrafo</w:t>
      </w:r>
      <w:proofErr w:type="gramStart"/>
      <w:r w:rsidRPr="008417FF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Pr="008417FF">
        <w:rPr>
          <w:rFonts w:ascii="Courier New" w:hAnsi="Courier New" w:cs="Courier New"/>
          <w:sz w:val="18"/>
          <w:szCs w:val="18"/>
        </w:rPr>
        <w:t>único.   Para</w:t>
      </w:r>
      <w:proofErr w:type="gramStart"/>
      <w:r w:rsidRPr="008417FF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Pr="008417FF">
        <w:rPr>
          <w:rFonts w:ascii="Courier New" w:hAnsi="Courier New" w:cs="Courier New"/>
          <w:sz w:val="18"/>
          <w:szCs w:val="18"/>
        </w:rPr>
        <w:t>efeito do disposto  neste  artigo,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consideram-se disponibilidades em moeda estrangeira: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I - a posição própria de câmbio da instituição;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II  -  os  saldos observados nas </w:t>
      </w:r>
      <w:proofErr w:type="spellStart"/>
      <w:r w:rsidRPr="008417FF">
        <w:rPr>
          <w:rFonts w:ascii="Courier New" w:hAnsi="Courier New" w:cs="Courier New"/>
          <w:sz w:val="18"/>
          <w:szCs w:val="18"/>
        </w:rPr>
        <w:t>contas-correntes</w:t>
      </w:r>
      <w:proofErr w:type="spellEnd"/>
      <w:r w:rsidRPr="008417FF">
        <w:rPr>
          <w:rFonts w:ascii="Courier New" w:hAnsi="Courier New" w:cs="Courier New"/>
          <w:sz w:val="18"/>
          <w:szCs w:val="18"/>
        </w:rPr>
        <w:t xml:space="preserve">  em  moeda</w:t>
      </w:r>
      <w:r w:rsidRPr="008417FF">
        <w:rPr>
          <w:rFonts w:ascii="Courier New" w:hAnsi="Courier New" w:cs="Courier New"/>
          <w:sz w:val="18"/>
          <w:szCs w:val="18"/>
        </w:rPr>
        <w:br/>
        <w:t>estrangeira  no  País, abertas e movimentadas em conformidade  com  a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legislação e regulamentação em vigor;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III  -  outros  recursos em moeda estrangeira  em  conta  no</w:t>
      </w:r>
      <w:r w:rsidRPr="008417FF">
        <w:rPr>
          <w:rFonts w:ascii="Courier New" w:hAnsi="Courier New" w:cs="Courier New"/>
          <w:sz w:val="18"/>
          <w:szCs w:val="18"/>
        </w:rPr>
        <w:br/>
        <w:t>exterior  da própria instituição, inclusive os recebidos em pagamento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de exportações brasileiras.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Art.</w:t>
      </w:r>
      <w:proofErr w:type="gramStart"/>
      <w:r w:rsidRPr="008417FF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Pr="008417FF">
        <w:rPr>
          <w:rFonts w:ascii="Courier New" w:hAnsi="Courier New" w:cs="Courier New"/>
          <w:sz w:val="18"/>
          <w:szCs w:val="18"/>
        </w:rPr>
        <w:t>2º   Os  bancos  autorizados a operar  no  mercado  de</w:t>
      </w:r>
      <w:r w:rsidRPr="008417FF">
        <w:rPr>
          <w:rFonts w:ascii="Courier New" w:hAnsi="Courier New" w:cs="Courier New"/>
          <w:sz w:val="18"/>
          <w:szCs w:val="18"/>
        </w:rPr>
        <w:br/>
        <w:t>câmbio    com    Patrimônio   de   Referência   (PR)    superior    a</w:t>
      </w:r>
      <w:r w:rsidRPr="008417FF">
        <w:rPr>
          <w:rFonts w:ascii="Courier New" w:hAnsi="Courier New" w:cs="Courier New"/>
          <w:sz w:val="18"/>
          <w:szCs w:val="18"/>
        </w:rPr>
        <w:br/>
        <w:t>R$5.000.000.000,00 (cinco bilhões de reais) podem  utilizar  recursos</w:t>
      </w:r>
      <w:r w:rsidRPr="008417FF">
        <w:rPr>
          <w:rFonts w:ascii="Courier New" w:hAnsi="Courier New" w:cs="Courier New"/>
          <w:sz w:val="18"/>
          <w:szCs w:val="18"/>
        </w:rPr>
        <w:br/>
        <w:t>captados no mercado externo para conceder crédito, no exterior,  para</w:t>
      </w:r>
      <w:r w:rsidRPr="008417FF">
        <w:rPr>
          <w:rFonts w:ascii="Courier New" w:hAnsi="Courier New" w:cs="Courier New"/>
          <w:sz w:val="18"/>
          <w:szCs w:val="18"/>
        </w:rPr>
        <w:br/>
        <w:t>empresas brasileiras, subsidiárias de empresas brasileiras e empresas</w:t>
      </w:r>
      <w:r w:rsidRPr="008417FF">
        <w:rPr>
          <w:rFonts w:ascii="Courier New" w:hAnsi="Courier New" w:cs="Courier New"/>
          <w:sz w:val="18"/>
          <w:szCs w:val="18"/>
        </w:rPr>
        <w:br/>
        <w:t>estrangeiras cujo acionista com maior capital votante seja, direta ou</w:t>
      </w:r>
      <w:r w:rsidRPr="008417FF">
        <w:rPr>
          <w:rFonts w:ascii="Courier New" w:hAnsi="Courier New" w:cs="Courier New"/>
          <w:sz w:val="18"/>
          <w:szCs w:val="18"/>
        </w:rPr>
        <w:br/>
        <w:t>indiretamente, pessoa física ou jurídica domiciliada no  Brasil,  bem</w:t>
      </w:r>
      <w:r w:rsidRPr="008417FF">
        <w:rPr>
          <w:rFonts w:ascii="Courier New" w:hAnsi="Courier New" w:cs="Courier New"/>
          <w:sz w:val="18"/>
          <w:szCs w:val="18"/>
        </w:rPr>
        <w:br/>
        <w:t>como  adquirir,  no  mercado  primário,  títulos  de  emissão  ou  de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responsabilidade das referidas empresas.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Art.</w:t>
      </w:r>
      <w:proofErr w:type="gramStart"/>
      <w:r w:rsidRPr="008417FF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Pr="008417FF">
        <w:rPr>
          <w:rFonts w:ascii="Courier New" w:hAnsi="Courier New" w:cs="Courier New"/>
          <w:sz w:val="18"/>
          <w:szCs w:val="18"/>
        </w:rPr>
        <w:t>3º   Na  aplicação  do disposto  nesta  Resolução,  os</w:t>
      </w:r>
      <w:r w:rsidRPr="008417FF">
        <w:rPr>
          <w:rFonts w:ascii="Courier New" w:hAnsi="Courier New" w:cs="Courier New"/>
          <w:sz w:val="18"/>
          <w:szCs w:val="18"/>
        </w:rPr>
        <w:br/>
        <w:t>bancos  devem  gerenciar adequadamente os ativos,  a  liquidez  e  os</w:t>
      </w:r>
      <w:r w:rsidRPr="008417FF">
        <w:rPr>
          <w:rFonts w:ascii="Courier New" w:hAnsi="Courier New" w:cs="Courier New"/>
          <w:sz w:val="18"/>
          <w:szCs w:val="18"/>
        </w:rPr>
        <w:br/>
        <w:t>riscos associados às operações, bem como cumprir seus compromissos  e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atender ao interesse dos clientes.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</w:r>
      <w:r w:rsidRPr="008417FF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Art.</w:t>
      </w:r>
      <w:proofErr w:type="gramStart"/>
      <w:r w:rsidRPr="008417FF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Pr="008417FF">
        <w:rPr>
          <w:rFonts w:ascii="Courier New" w:hAnsi="Courier New" w:cs="Courier New"/>
          <w:sz w:val="18"/>
          <w:szCs w:val="18"/>
        </w:rPr>
        <w:t>4º  O Banco Central do Brasil regulamentará o disposto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nesta Resolução, dispondo, inclusive, sobre: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I  -  limites,  fornecimento de informações e  histórico  de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crédito dos envolvidos nas operações;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II  -  registro  de  informações em sistema  de  registro  e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liquidação financeira de ativos;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III  -  realização de operações simultâneas de  câmbio,  com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vistas ao registro do capital estrangeiro, na hipótese do art. 2º.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Art.</w:t>
      </w:r>
      <w:proofErr w:type="gramStart"/>
      <w:r w:rsidRPr="008417FF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Pr="008417FF">
        <w:rPr>
          <w:rFonts w:ascii="Courier New" w:hAnsi="Courier New" w:cs="Courier New"/>
          <w:sz w:val="18"/>
          <w:szCs w:val="18"/>
        </w:rPr>
        <w:t>5º   Esta  Resolução entra em vigor  na  data  de  sua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publicação.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Art.</w:t>
      </w:r>
      <w:proofErr w:type="gramStart"/>
      <w:r w:rsidRPr="008417FF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Pr="008417FF">
        <w:rPr>
          <w:rFonts w:ascii="Courier New" w:hAnsi="Courier New" w:cs="Courier New"/>
          <w:sz w:val="18"/>
          <w:szCs w:val="18"/>
        </w:rPr>
        <w:t>6º   Fica  revogada a Resolução nº  3.443,  de  28  de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fevereiro de 2007.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Brasília, 30 de novembro de 2011.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                         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      Alexandre Antonio </w:t>
      </w:r>
      <w:proofErr w:type="spellStart"/>
      <w:r w:rsidRPr="008417FF">
        <w:rPr>
          <w:rFonts w:ascii="Courier New" w:hAnsi="Courier New" w:cs="Courier New"/>
          <w:sz w:val="18"/>
          <w:szCs w:val="18"/>
        </w:rPr>
        <w:t>Tombini</w:t>
      </w:r>
      <w:proofErr w:type="spellEnd"/>
      <w:r w:rsidRPr="008417FF">
        <w:rPr>
          <w:rFonts w:ascii="Courier New" w:hAnsi="Courier New" w:cs="Courier New"/>
          <w:sz w:val="18"/>
          <w:szCs w:val="18"/>
        </w:rPr>
        <w:t xml:space="preserve">                      </w:t>
      </w:r>
      <w:r w:rsidRPr="008417FF">
        <w:rPr>
          <w:rFonts w:ascii="Courier New" w:hAnsi="Courier New" w:cs="Courier New"/>
          <w:sz w:val="18"/>
          <w:szCs w:val="18"/>
        </w:rPr>
        <w:br/>
        <w:t xml:space="preserve">                Presidente do Banco Central do </w:t>
      </w:r>
      <w:proofErr w:type="gramStart"/>
      <w:r w:rsidRPr="008417FF">
        <w:rPr>
          <w:rFonts w:ascii="Courier New" w:hAnsi="Courier New" w:cs="Courier New"/>
          <w:sz w:val="18"/>
          <w:szCs w:val="18"/>
        </w:rPr>
        <w:t>Brasil</w:t>
      </w:r>
      <w:proofErr w:type="gramEnd"/>
      <w:r w:rsidRPr="008417FF">
        <w:rPr>
          <w:rFonts w:ascii="Courier New" w:hAnsi="Courier New" w:cs="Courier New"/>
          <w:sz w:val="18"/>
          <w:szCs w:val="18"/>
        </w:rPr>
        <w:t xml:space="preserve">                </w:t>
      </w:r>
    </w:p>
    <w:sectPr w:rsidR="00F423B7" w:rsidRPr="008417FF" w:rsidSect="00F42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417FF"/>
    <w:rsid w:val="008417FF"/>
    <w:rsid w:val="00F4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4962</Characters>
  <Application>Microsoft Office Word</Application>
  <DocSecurity>0</DocSecurity>
  <Lines>41</Lines>
  <Paragraphs>11</Paragraphs>
  <ScaleCrop>false</ScaleCrop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eloisa</cp:lastModifiedBy>
  <cp:revision>1</cp:revision>
  <dcterms:created xsi:type="dcterms:W3CDTF">2011-11-30T13:37:00Z</dcterms:created>
  <dcterms:modified xsi:type="dcterms:W3CDTF">2011-11-30T13:37:00Z</dcterms:modified>
</cp:coreProperties>
</file>