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B7" w:rsidRPr="00B71F6B" w:rsidRDefault="00B71F6B" w:rsidP="00B71F6B">
      <w:pPr>
        <w:rPr>
          <w:rFonts w:ascii="Courier New" w:hAnsi="Courier New" w:cs="Courier New"/>
          <w:sz w:val="18"/>
          <w:szCs w:val="18"/>
        </w:rPr>
      </w:pPr>
      <w:r>
        <w:t xml:space="preserve">             </w:t>
      </w:r>
      <w:r w:rsidRPr="00B71F6B"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 w:rsidRPr="00B71F6B">
        <w:rPr>
          <w:rFonts w:ascii="Courier New" w:hAnsi="Courier New" w:cs="Courier New"/>
          <w:b/>
          <w:sz w:val="18"/>
          <w:szCs w:val="18"/>
        </w:rPr>
        <w:t xml:space="preserve">RESOLUCAO 4.035                              </w:t>
      </w:r>
      <w:r w:rsidRPr="00B71F6B">
        <w:rPr>
          <w:rFonts w:ascii="Courier New" w:hAnsi="Courier New" w:cs="Courier New"/>
          <w:b/>
          <w:sz w:val="18"/>
          <w:szCs w:val="18"/>
        </w:rPr>
        <w:br/>
        <w:t xml:space="preserve">                        ---------------</w:t>
      </w:r>
      <w:r>
        <w:rPr>
          <w:rFonts w:ascii="Courier New" w:hAnsi="Courier New" w:cs="Courier New"/>
          <w:b/>
          <w:sz w:val="18"/>
          <w:szCs w:val="18"/>
        </w:rPr>
        <w:t>-</w:t>
      </w:r>
      <w:r w:rsidRPr="00B71F6B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Pr="00B71F6B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                                    </w:t>
      </w:r>
      <w:r w:rsidRPr="00B71F6B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Altera a Resolução nº 3.954,</w:t>
      </w:r>
      <w:proofErr w:type="gramStart"/>
      <w:r w:rsidRPr="00B71F6B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End"/>
      <w:r w:rsidRPr="00B71F6B">
        <w:rPr>
          <w:rFonts w:ascii="Courier New" w:hAnsi="Courier New" w:cs="Courier New"/>
          <w:b/>
          <w:sz w:val="18"/>
          <w:szCs w:val="18"/>
        </w:rPr>
        <w:t>de  24</w:t>
      </w:r>
      <w:r w:rsidRPr="00B71F6B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de  fevereiro  de 2011,  que  dispõe</w:t>
      </w:r>
      <w:r w:rsidRPr="00B71F6B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sobre      a     contratação      de</w:t>
      </w:r>
      <w:r w:rsidRPr="00B71F6B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correspondentes no País.            </w:t>
      </w:r>
      <w:r w:rsidRPr="00B71F6B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                                    </w:t>
      </w:r>
      <w:r w:rsidRPr="00B71F6B">
        <w:rPr>
          <w:rFonts w:ascii="Courier New" w:hAnsi="Courier New" w:cs="Courier New"/>
          <w:b/>
          <w:sz w:val="18"/>
          <w:szCs w:val="18"/>
        </w:rPr>
        <w:br/>
      </w:r>
      <w:r w:rsidRPr="00B71F6B">
        <w:rPr>
          <w:rFonts w:ascii="Courier New" w:hAnsi="Courier New" w:cs="Courier New"/>
          <w:sz w:val="18"/>
          <w:szCs w:val="18"/>
        </w:rPr>
        <w:t xml:space="preserve">         O</w:t>
      </w:r>
      <w:proofErr w:type="gramStart"/>
      <w:r w:rsidRPr="00B71F6B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B71F6B">
        <w:rPr>
          <w:rFonts w:ascii="Courier New" w:hAnsi="Courier New" w:cs="Courier New"/>
          <w:sz w:val="18"/>
          <w:szCs w:val="18"/>
        </w:rPr>
        <w:t>Banco  Central do Brasil, na forma do art. 9º da  Lei  nº</w:t>
      </w:r>
      <w:r w:rsidRPr="00B71F6B">
        <w:rPr>
          <w:rFonts w:ascii="Courier New" w:hAnsi="Courier New" w:cs="Courier New"/>
          <w:sz w:val="18"/>
          <w:szCs w:val="18"/>
        </w:rPr>
        <w:br/>
        <w:t>4.595,  de  31  de  dezembro de 1964, torna público  que  o  Conselho</w:t>
      </w:r>
      <w:r w:rsidRPr="00B71F6B">
        <w:rPr>
          <w:rFonts w:ascii="Courier New" w:hAnsi="Courier New" w:cs="Courier New"/>
          <w:sz w:val="18"/>
          <w:szCs w:val="18"/>
        </w:rPr>
        <w:br/>
        <w:t>Monetário  Nacional, em sessão realizada em 29 de novembro  de  2011,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com  base  nos </w:t>
      </w:r>
      <w:proofErr w:type="spellStart"/>
      <w:r w:rsidRPr="00B71F6B">
        <w:rPr>
          <w:rFonts w:ascii="Courier New" w:hAnsi="Courier New" w:cs="Courier New"/>
          <w:sz w:val="18"/>
          <w:szCs w:val="18"/>
        </w:rPr>
        <w:t>arts</w:t>
      </w:r>
      <w:proofErr w:type="spellEnd"/>
      <w:r w:rsidRPr="00B71F6B">
        <w:rPr>
          <w:rFonts w:ascii="Courier New" w:hAnsi="Courier New" w:cs="Courier New"/>
          <w:sz w:val="18"/>
          <w:szCs w:val="18"/>
        </w:rPr>
        <w:t>. 3º, inciso V, e 4º, incisos VI, VIII e XXXI,</w:t>
      </w:r>
      <w:proofErr w:type="gramStart"/>
      <w:r w:rsidRPr="00B71F6B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B71F6B">
        <w:rPr>
          <w:rFonts w:ascii="Courier New" w:hAnsi="Courier New" w:cs="Courier New"/>
          <w:sz w:val="18"/>
          <w:szCs w:val="18"/>
        </w:rPr>
        <w:t>da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referida Lei,                           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R E S O L V E U :              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Art.  1º O art. 9º da Resolução nº 3.954, de 24 de fevereiro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de 2011, passa a vigorar com a seguinte redação: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"Art. 9º ...............................................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........................................................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I  -  compra  e venda de moeda estrangeira  em  espécie,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cheque  ou  cheque de viagem, bem como  carga  de  moeda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estrangeira em cartão pré-pago;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.................................................." (NR)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Art.  2º  A Resolução nº 3.954, de 2011, fica acrescida  dos</w:t>
      </w:r>
      <w:r w:rsidRPr="00B71F6B">
        <w:rPr>
          <w:rFonts w:ascii="Courier New" w:hAnsi="Courier New" w:cs="Courier New"/>
          <w:sz w:val="18"/>
          <w:szCs w:val="18"/>
        </w:rPr>
        <w:br/>
      </w:r>
      <w:proofErr w:type="spellStart"/>
      <w:r w:rsidRPr="00B71F6B">
        <w:rPr>
          <w:rFonts w:ascii="Courier New" w:hAnsi="Courier New" w:cs="Courier New"/>
          <w:sz w:val="18"/>
          <w:szCs w:val="18"/>
        </w:rPr>
        <w:t>arts</w:t>
      </w:r>
      <w:proofErr w:type="spellEnd"/>
      <w:r w:rsidRPr="00B71F6B">
        <w:rPr>
          <w:rFonts w:ascii="Courier New" w:hAnsi="Courier New" w:cs="Courier New"/>
          <w:sz w:val="18"/>
          <w:szCs w:val="18"/>
        </w:rPr>
        <w:t xml:space="preserve">. 4º-A, 12-A e 17-A, com a seguinte redação: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"Art.</w:t>
      </w:r>
      <w:proofErr w:type="gramStart"/>
      <w:r w:rsidRPr="00B71F6B">
        <w:rPr>
          <w:rFonts w:ascii="Courier New" w:hAnsi="Courier New" w:cs="Courier New"/>
          <w:sz w:val="18"/>
          <w:szCs w:val="18"/>
        </w:rPr>
        <w:t xml:space="preserve">   </w:t>
      </w:r>
      <w:proofErr w:type="gramEnd"/>
      <w:r w:rsidRPr="00B71F6B">
        <w:rPr>
          <w:rFonts w:ascii="Courier New" w:hAnsi="Courier New" w:cs="Courier New"/>
          <w:sz w:val="18"/>
          <w:szCs w:val="18"/>
        </w:rPr>
        <w:t xml:space="preserve">4º-A   A  instituição  contratante  deve  adotar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política  de remuneração dos contratados compatível  com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a   política  de  gestão  de  riscos,  de  modo  a   não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incentivar  comportamentos que  elevem  a  exposição  ao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risco  acima  dos  níveis  considerados  prudentes   nas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estratégias  de  curto,  médio e longo  prazos  adotadas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pela   instituição,   tendo  em  conta,   inclusive,   a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viabilidade econômica no caso das operações  de  crédito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e   de  arrendamento  mercantil  cujas  propostas  sejam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encaminhadas pelos correspondentes.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Parágrafo único. A política de remuneração de que  trata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o  caput  deve considerar qualquer forma de remuneração,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inclusive   adiantamentos  por  meio  de   operação   de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crédito,  aquisição  de recebíveis  ou  constituição  de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garantias,   bem  como  o  pagamento  de   despesas,   a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distribuição  de  prêmios,  bonificações,  promoções  ou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qualquer outra forma assemelhada." (NR)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"Art.  12-A.   Para  cada convênio celebrado  visando  à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concessão  de  crédito  com  consignação  em  folha   de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pagamento,   cujas   propostas   de   operações    sejam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encaminhadas   por   correspondentes,   a    instituição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financeira     deve    implementar    sistemática     de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monitoramento   e   controle   acerca   da   viabilidade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econômica  do  convênio,  com a produção  de  relatórios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gerenciais  contemplando todas as  </w:t>
      </w:r>
      <w:proofErr w:type="gramStart"/>
      <w:r w:rsidRPr="00B71F6B">
        <w:rPr>
          <w:rFonts w:ascii="Courier New" w:hAnsi="Courier New" w:cs="Courier New"/>
          <w:sz w:val="18"/>
          <w:szCs w:val="18"/>
        </w:rPr>
        <w:t>receitas</w:t>
      </w:r>
      <w:proofErr w:type="gramEnd"/>
      <w:r w:rsidRPr="00B71F6B">
        <w:rPr>
          <w:rFonts w:ascii="Courier New" w:hAnsi="Courier New" w:cs="Courier New"/>
          <w:sz w:val="18"/>
          <w:szCs w:val="18"/>
        </w:rPr>
        <w:t xml:space="preserve">  e  despesas    </w:t>
      </w:r>
      <w:r w:rsidRPr="00B71F6B">
        <w:rPr>
          <w:rFonts w:ascii="Courier New" w:hAnsi="Courier New" w:cs="Courier New"/>
          <w:sz w:val="18"/>
          <w:szCs w:val="18"/>
        </w:rPr>
        <w:br/>
      </w:r>
      <w:r w:rsidRPr="00B71F6B">
        <w:rPr>
          <w:rFonts w:ascii="Courier New" w:hAnsi="Courier New" w:cs="Courier New"/>
          <w:sz w:val="18"/>
          <w:szCs w:val="18"/>
        </w:rPr>
        <w:lastRenderedPageBreak/>
        <w:t xml:space="preserve">         envolvidas, tais como custo de captação, taxa  de  juros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e   remuneração  paga  ao  correspondente  sob  qualquer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forma,  bem como prazos das operações, probabilidade  de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liquidação  antecipada e de cessão  e  seus  efeitos  na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rentabilidade.                 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Parágrafo único.  Os relatórios gerenciais referidos</w:t>
      </w:r>
      <w:proofErr w:type="gramStart"/>
      <w:r w:rsidRPr="00B71F6B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B71F6B">
        <w:rPr>
          <w:rFonts w:ascii="Courier New" w:hAnsi="Courier New" w:cs="Courier New"/>
          <w:sz w:val="18"/>
          <w:szCs w:val="18"/>
        </w:rPr>
        <w:t xml:space="preserve">no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caput  devem  ficar  à disposição do  Banco  Central  do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Brasil  até  cinco anos após o término  de  vigência  do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convênio." (NR)                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"Art.  17-A.   É  vedada  a prestação  de  serviços  por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correspondente    no   recinto   de   dependências    da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instituição financeira contratante." (NR)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Art.  3º   Esta Resolução entra em vigor em 2 de janeiro  de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2012.                                   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                           Brasília, 30 de novembro de 2011.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             Alexandre Antonio </w:t>
      </w:r>
      <w:proofErr w:type="spellStart"/>
      <w:r w:rsidRPr="00B71F6B">
        <w:rPr>
          <w:rFonts w:ascii="Courier New" w:hAnsi="Courier New" w:cs="Courier New"/>
          <w:sz w:val="18"/>
          <w:szCs w:val="18"/>
        </w:rPr>
        <w:t>Tombini</w:t>
      </w:r>
      <w:proofErr w:type="spellEnd"/>
      <w:r w:rsidRPr="00B71F6B">
        <w:rPr>
          <w:rFonts w:ascii="Courier New" w:hAnsi="Courier New" w:cs="Courier New"/>
          <w:sz w:val="18"/>
          <w:szCs w:val="18"/>
        </w:rPr>
        <w:t xml:space="preserve">                      </w:t>
      </w:r>
      <w:r w:rsidRPr="00B71F6B">
        <w:rPr>
          <w:rFonts w:ascii="Courier New" w:hAnsi="Courier New" w:cs="Courier New"/>
          <w:sz w:val="18"/>
          <w:szCs w:val="18"/>
        </w:rPr>
        <w:br/>
        <w:t xml:space="preserve">                Presidente do Banco Central do Brasil  </w:t>
      </w:r>
    </w:p>
    <w:sectPr w:rsidR="00F423B7" w:rsidRPr="00B71F6B" w:rsidSect="00F423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71F6B"/>
    <w:rsid w:val="00B71F6B"/>
    <w:rsid w:val="00F4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917</Words>
  <Characters>4955</Characters>
  <Application>Microsoft Office Word</Application>
  <DocSecurity>0</DocSecurity>
  <Lines>41</Lines>
  <Paragraphs>11</Paragraphs>
  <ScaleCrop>false</ScaleCrop>
  <Company>Microsoft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1</cp:revision>
  <dcterms:created xsi:type="dcterms:W3CDTF">2011-11-30T13:29:00Z</dcterms:created>
  <dcterms:modified xsi:type="dcterms:W3CDTF">2011-11-30T13:32:00Z</dcterms:modified>
</cp:coreProperties>
</file>