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99" w:rsidRPr="005971D5" w:rsidRDefault="00BC2F5F" w:rsidP="00307F83">
      <w:pPr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  <w:r w:rsidRPr="005971D5">
        <w:rPr>
          <w:b/>
          <w:lang w:val="es-MX" w:bidi="ar-SA"/>
        </w:rPr>
        <w:t>LEY DE INSTITUCIONES DE CRÉDITO</w:t>
      </w:r>
    </w:p>
    <w:p w:rsidR="00D75599" w:rsidRPr="005971D5" w:rsidRDefault="00D75599" w:rsidP="006D5E88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  <w:r w:rsidRPr="005971D5">
        <w:rPr>
          <w:rFonts w:cs="Arial"/>
          <w:b/>
          <w:bCs/>
          <w:color w:val="000000"/>
          <w:sz w:val="22"/>
          <w:szCs w:val="22"/>
          <w:lang w:val="es-MX" w:bidi="ar-SA"/>
        </w:rPr>
        <w:t>TITULO SEGUNDO</w:t>
      </w:r>
    </w:p>
    <w:p w:rsidR="00D75599" w:rsidRPr="005971D5" w:rsidRDefault="00D75599" w:rsidP="006D5E88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  <w:r w:rsidRPr="005971D5">
        <w:rPr>
          <w:rFonts w:cs="Arial"/>
          <w:b/>
          <w:bCs/>
          <w:color w:val="000000"/>
          <w:sz w:val="22"/>
          <w:szCs w:val="22"/>
          <w:lang w:val="es-MX" w:bidi="ar-SA"/>
        </w:rPr>
        <w:t>DE LAS INSTITUCIONES DE CREDITO</w:t>
      </w:r>
    </w:p>
    <w:p w:rsidR="00D75599" w:rsidRDefault="00D75599" w:rsidP="006D5E88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  <w:r w:rsidRPr="005971D5">
        <w:rPr>
          <w:rFonts w:cs="Arial"/>
          <w:b/>
          <w:bCs/>
          <w:color w:val="000000"/>
          <w:sz w:val="22"/>
          <w:szCs w:val="22"/>
          <w:lang w:val="es-MX" w:bidi="ar-SA"/>
        </w:rPr>
        <w:t>CAPITULO I</w:t>
      </w:r>
    </w:p>
    <w:p w:rsidR="006D5E88" w:rsidRPr="005971D5" w:rsidRDefault="006D5E88" w:rsidP="006D5E88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</w:p>
    <w:p w:rsidR="00D75599" w:rsidRDefault="00D75599" w:rsidP="006D5E88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  <w:r w:rsidRPr="005971D5">
        <w:rPr>
          <w:rFonts w:cs="Arial"/>
          <w:b/>
          <w:bCs/>
          <w:color w:val="000000"/>
          <w:sz w:val="22"/>
          <w:szCs w:val="22"/>
          <w:lang w:val="es-MX" w:bidi="ar-SA"/>
        </w:rPr>
        <w:t>De las Instituciones de Banca Múltiple</w:t>
      </w:r>
    </w:p>
    <w:p w:rsidR="00D75599" w:rsidRPr="005971D5" w:rsidRDefault="00D75599" w:rsidP="006D5E88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</w:p>
    <w:p w:rsidR="00D75599" w:rsidRPr="005971D5" w:rsidRDefault="00D75599" w:rsidP="006D5E88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  <w:r w:rsidRPr="005971D5">
        <w:rPr>
          <w:rFonts w:cs="Arial"/>
          <w:b/>
          <w:bCs/>
          <w:color w:val="000000"/>
          <w:sz w:val="22"/>
          <w:szCs w:val="22"/>
          <w:lang w:val="es-MX" w:bidi="ar-SA"/>
        </w:rPr>
        <w:t>SECCIÓN PRIMERA</w:t>
      </w:r>
    </w:p>
    <w:p w:rsidR="00D75599" w:rsidRPr="005971D5" w:rsidRDefault="00D75599" w:rsidP="006D5E88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  <w:r w:rsidRPr="005971D5">
        <w:rPr>
          <w:rFonts w:cs="Arial"/>
          <w:b/>
          <w:bCs/>
          <w:color w:val="000000"/>
          <w:sz w:val="22"/>
          <w:szCs w:val="22"/>
          <w:lang w:val="es-MX" w:bidi="ar-SA"/>
        </w:rPr>
        <w:t>Disposiciones Generales</w:t>
      </w:r>
    </w:p>
    <w:p w:rsidR="00D75599" w:rsidRPr="005971D5" w:rsidRDefault="00D75599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lang w:val="es-MX" w:bidi="ar-SA"/>
        </w:rPr>
      </w:pPr>
    </w:p>
    <w:p w:rsidR="00D75599" w:rsidRPr="005971D5" w:rsidRDefault="006D5E88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>
        <w:rPr>
          <w:rFonts w:cs="Arial"/>
          <w:b/>
          <w:bCs/>
          <w:color w:val="000000"/>
          <w:lang w:val="es-MX" w:bidi="ar-SA"/>
        </w:rPr>
        <w:t xml:space="preserve">…. </w:t>
      </w:r>
      <w:r w:rsidR="00D75599" w:rsidRPr="005971D5">
        <w:rPr>
          <w:rFonts w:cs="Arial"/>
          <w:b/>
          <w:bCs/>
          <w:color w:val="000000"/>
          <w:lang w:val="es-MX" w:bidi="ar-SA"/>
        </w:rPr>
        <w:t xml:space="preserve">Artículo 8o.- </w:t>
      </w:r>
      <w:r w:rsidR="00D75599" w:rsidRPr="005971D5">
        <w:rPr>
          <w:rFonts w:cs="Arial"/>
          <w:color w:val="000000"/>
          <w:lang w:val="es-MX" w:bidi="ar-SA"/>
        </w:rPr>
        <w:t>Para organizarse y operar como institución de banca múltiple se requiere autorización</w:t>
      </w:r>
      <w:r>
        <w:rPr>
          <w:rFonts w:cs="Arial"/>
          <w:color w:val="000000"/>
          <w:lang w:val="es-MX" w:bidi="ar-SA"/>
        </w:rPr>
        <w:t xml:space="preserve"> </w:t>
      </w:r>
      <w:r w:rsidR="00D75599" w:rsidRPr="005971D5">
        <w:rPr>
          <w:rFonts w:cs="Arial"/>
          <w:color w:val="000000"/>
          <w:lang w:val="es-MX" w:bidi="ar-SA"/>
        </w:rPr>
        <w:t>del Gobierno Federal, que compete otorgar discrecionalmente a la Comisión Nacional Bancaria y de valores,</w:t>
      </w:r>
      <w:r>
        <w:rPr>
          <w:rFonts w:cs="Arial"/>
          <w:color w:val="000000"/>
          <w:lang w:val="es-MX" w:bidi="ar-SA"/>
        </w:rPr>
        <w:t xml:space="preserve"> </w:t>
      </w:r>
      <w:r w:rsidR="00D75599" w:rsidRPr="005971D5">
        <w:rPr>
          <w:rFonts w:cs="Arial"/>
          <w:color w:val="000000"/>
          <w:lang w:val="es-MX" w:bidi="ar-SA"/>
        </w:rPr>
        <w:t>previo acuerdo de su Junta de Gobierno y opinión favorable del Banco de México. Por su naturaleza, estas autorizaciones serán intransmisibles</w:t>
      </w:r>
      <w:r w:rsidR="00440E94">
        <w:rPr>
          <w:rFonts w:cs="Arial"/>
          <w:color w:val="000000"/>
          <w:lang w:val="es-MX" w:bidi="ar-SA"/>
        </w:rPr>
        <w:t>…</w:t>
      </w:r>
    </w:p>
    <w:p w:rsidR="00D75599" w:rsidRPr="005971D5" w:rsidRDefault="00D75599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BC2F5F" w:rsidRPr="005971D5" w:rsidRDefault="00BC2F5F" w:rsidP="0009144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09144C" w:rsidRDefault="0009144C" w:rsidP="00207D8D">
      <w:pPr>
        <w:pStyle w:val="Sinespaciado"/>
        <w:jc w:val="center"/>
        <w:rPr>
          <w:b/>
          <w:lang w:val="es-MX" w:bidi="ar-SA"/>
        </w:rPr>
      </w:pPr>
    </w:p>
    <w:p w:rsidR="00B409CE" w:rsidRPr="00207D8D" w:rsidRDefault="00B409CE" w:rsidP="00207D8D">
      <w:pPr>
        <w:pStyle w:val="Sinespaciado"/>
        <w:jc w:val="center"/>
        <w:rPr>
          <w:b/>
          <w:lang w:val="es-MX" w:bidi="ar-SA"/>
        </w:rPr>
      </w:pPr>
      <w:r w:rsidRPr="00207D8D">
        <w:rPr>
          <w:b/>
          <w:lang w:val="es-MX" w:bidi="ar-SA"/>
        </w:rPr>
        <w:t>TITULO TERCERO</w:t>
      </w:r>
    </w:p>
    <w:p w:rsidR="00B409CE" w:rsidRPr="00207D8D" w:rsidRDefault="00B409CE" w:rsidP="00207D8D">
      <w:pPr>
        <w:pStyle w:val="Sinespaciado"/>
        <w:jc w:val="center"/>
        <w:rPr>
          <w:b/>
          <w:color w:val="000000"/>
          <w:lang w:val="es-MX" w:bidi="ar-SA"/>
        </w:rPr>
      </w:pPr>
      <w:r w:rsidRPr="00207D8D">
        <w:rPr>
          <w:b/>
          <w:lang w:val="es-MX" w:bidi="ar-SA"/>
        </w:rPr>
        <w:t>De las Operaciones</w:t>
      </w:r>
    </w:p>
    <w:p w:rsidR="00B409CE" w:rsidRPr="005971D5" w:rsidRDefault="00307F83" w:rsidP="006D5E88">
      <w:pPr>
        <w:jc w:val="both"/>
        <w:rPr>
          <w:rFonts w:cs="Arial"/>
          <w:lang w:val="es-MX" w:bidi="ar-SA"/>
        </w:rPr>
      </w:pPr>
      <w:r>
        <w:rPr>
          <w:rFonts w:cs="Arial"/>
          <w:b/>
          <w:bCs/>
          <w:lang w:val="es-MX" w:bidi="ar-SA"/>
        </w:rPr>
        <w:t>…</w:t>
      </w:r>
      <w:r w:rsidR="00B409CE" w:rsidRPr="005971D5">
        <w:rPr>
          <w:rFonts w:cs="Arial"/>
          <w:b/>
          <w:bCs/>
          <w:lang w:val="es-MX" w:bidi="ar-SA"/>
        </w:rPr>
        <w:t xml:space="preserve">Artículo 46.- </w:t>
      </w:r>
      <w:r w:rsidR="00B409CE" w:rsidRPr="005971D5">
        <w:rPr>
          <w:rFonts w:cs="Arial"/>
          <w:lang w:val="es-MX" w:bidi="ar-SA"/>
        </w:rPr>
        <w:t>Las instituciones de crédito sólo podrán realizar las operaciones siguientes</w:t>
      </w:r>
      <w:r w:rsidR="00976BDF">
        <w:rPr>
          <w:rFonts w:cs="Arial"/>
          <w:lang w:val="es-MX" w:bidi="ar-SA"/>
        </w:rPr>
        <w:t>….</w:t>
      </w:r>
    </w:p>
    <w:p w:rsidR="0076342D" w:rsidRPr="005971D5" w:rsidRDefault="00976BDF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>
        <w:rPr>
          <w:rFonts w:cs="Arial"/>
          <w:b/>
          <w:bCs/>
          <w:color w:val="000000"/>
          <w:lang w:val="es-MX" w:bidi="ar-SA"/>
        </w:rPr>
        <w:t>….</w:t>
      </w:r>
      <w:r w:rsidR="0076342D" w:rsidRPr="005971D5">
        <w:rPr>
          <w:rFonts w:cs="Arial"/>
          <w:b/>
          <w:bCs/>
          <w:color w:val="000000"/>
          <w:lang w:val="es-MX" w:bidi="ar-SA"/>
        </w:rPr>
        <w:t xml:space="preserve">XV. </w:t>
      </w:r>
      <w:r w:rsidR="0076342D" w:rsidRPr="005971D5">
        <w:rPr>
          <w:rFonts w:cs="Arial"/>
          <w:color w:val="000000"/>
          <w:lang w:val="es-MX" w:bidi="ar-SA"/>
        </w:rPr>
        <w:t>Practicar las operaciones de fideicomiso a que se refiere la Ley General de Títulos y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Operaciones de Crédito, y llevar a cabo mandatos y comisiones;</w:t>
      </w:r>
      <w:r w:rsidR="00440E94">
        <w:rPr>
          <w:rFonts w:cs="Arial"/>
          <w:color w:val="000000"/>
          <w:lang w:val="es-MX" w:bidi="ar-SA"/>
        </w:rPr>
        <w:t xml:space="preserve"> l</w:t>
      </w:r>
      <w:r w:rsidR="0076342D" w:rsidRPr="005971D5">
        <w:rPr>
          <w:rFonts w:cs="Arial"/>
          <w:color w:val="000000"/>
          <w:lang w:val="es-MX" w:bidi="ar-SA"/>
        </w:rPr>
        <w:t>as instituciones de crédito podrán celebrar operaciones consigo mismas en el cumplimiento de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fideicomisos, mandatos o comisiones, cuando el Banco de México lo autorice mediante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disposiciones de carácter general, en las que se establezcan requisitos, términos y condiciones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que promuevan que las operaciones de referencia se realicen en congruencia con las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condiciones de mercado al tiempo de su celebración, así como que se eviten conflictos de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interés;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i/>
          <w:iCs/>
          <w:color w:val="0000FF"/>
          <w:sz w:val="16"/>
          <w:szCs w:val="16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XVI. </w:t>
      </w:r>
      <w:r w:rsidRPr="005971D5">
        <w:rPr>
          <w:rFonts w:cs="Arial"/>
          <w:color w:val="000000"/>
          <w:lang w:val="es-MX" w:bidi="ar-SA"/>
        </w:rPr>
        <w:t>Recibir depósitos en administración o custodia, o en garantía por cuenta de terceros, de títulos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o valores y en general de documentos mercantiles;</w:t>
      </w:r>
    </w:p>
    <w:p w:rsidR="0009144C" w:rsidRPr="005971D5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XVII. </w:t>
      </w:r>
      <w:r w:rsidRPr="005971D5">
        <w:rPr>
          <w:rFonts w:cs="Arial"/>
          <w:color w:val="000000"/>
          <w:lang w:val="es-MX" w:bidi="ar-SA"/>
        </w:rPr>
        <w:t>Actuar como representante común de los tenedores de títulos de crédito;</w:t>
      </w:r>
    </w:p>
    <w:p w:rsidR="0009144C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XVIII. </w:t>
      </w:r>
      <w:r w:rsidRPr="005971D5">
        <w:rPr>
          <w:rFonts w:cs="Arial"/>
          <w:color w:val="000000"/>
          <w:lang w:val="es-MX" w:bidi="ar-SA"/>
        </w:rPr>
        <w:t>Hacer servicio de caja y tesorería relativo a títulos de crédito, por cuenta de las emisoras;</w:t>
      </w:r>
    </w:p>
    <w:p w:rsidR="0009144C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XIX. </w:t>
      </w:r>
      <w:r w:rsidRPr="005971D5">
        <w:rPr>
          <w:rFonts w:cs="Arial"/>
          <w:color w:val="000000"/>
          <w:lang w:val="es-MX" w:bidi="ar-SA"/>
        </w:rPr>
        <w:t>Llevar la contabilidad y los libros de actas y de registro de sociedades y empresas;</w:t>
      </w:r>
    </w:p>
    <w:p w:rsidR="0009144C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XX. </w:t>
      </w:r>
      <w:r w:rsidRPr="005971D5">
        <w:rPr>
          <w:rFonts w:cs="Arial"/>
          <w:color w:val="000000"/>
          <w:lang w:val="es-MX" w:bidi="ar-SA"/>
        </w:rPr>
        <w:t>Desempeñar el cargo de albacea;</w:t>
      </w:r>
    </w:p>
    <w:p w:rsidR="0009144C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XXI. </w:t>
      </w:r>
      <w:r w:rsidRPr="005971D5">
        <w:rPr>
          <w:rFonts w:cs="Arial"/>
          <w:color w:val="000000"/>
          <w:lang w:val="es-MX" w:bidi="ar-SA"/>
        </w:rPr>
        <w:t>Desempeñar la sindicatura o encargarse de la liquidación judicial o extrajudicial de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negociaciones, establecimientos, concursos o herencias;</w:t>
      </w:r>
    </w:p>
    <w:p w:rsidR="0009144C" w:rsidRPr="005971D5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Pr="005971D5" w:rsidRDefault="0076342D" w:rsidP="0009144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XXII. </w:t>
      </w:r>
      <w:r w:rsidRPr="005971D5">
        <w:rPr>
          <w:rFonts w:cs="Arial"/>
          <w:color w:val="000000"/>
          <w:lang w:val="es-MX" w:bidi="ar-SA"/>
        </w:rPr>
        <w:t>Encargarse de hacer avalúos que tendrán la misma fuerza probatoria que las leyes asignan a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los hechos por corredor público o perito</w:t>
      </w:r>
      <w:r w:rsidR="00307F83">
        <w:rPr>
          <w:rFonts w:cs="Arial"/>
          <w:color w:val="000000"/>
          <w:lang w:val="es-MX" w:bidi="ar-SA"/>
        </w:rPr>
        <w:t>…</w:t>
      </w:r>
    </w:p>
    <w:p w:rsidR="0076342D" w:rsidRPr="005971D5" w:rsidRDefault="0076342D" w:rsidP="006D5E88">
      <w:pPr>
        <w:jc w:val="both"/>
        <w:rPr>
          <w:rFonts w:cs="Arial"/>
          <w:color w:val="000000"/>
          <w:lang w:val="es-MX" w:bidi="ar-SA"/>
        </w:rPr>
      </w:pPr>
    </w:p>
    <w:p w:rsidR="00440E94" w:rsidRDefault="00440E94" w:rsidP="0009144C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</w:p>
    <w:p w:rsidR="00440E94" w:rsidRDefault="00440E94" w:rsidP="0009144C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</w:p>
    <w:p w:rsidR="00440E94" w:rsidRDefault="00440E94" w:rsidP="0009144C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</w:p>
    <w:p w:rsidR="0076342D" w:rsidRPr="005971D5" w:rsidRDefault="0076342D" w:rsidP="0009144C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  <w:r w:rsidRPr="005971D5">
        <w:rPr>
          <w:rFonts w:cs="Arial"/>
          <w:b/>
          <w:bCs/>
          <w:color w:val="000000"/>
          <w:sz w:val="22"/>
          <w:szCs w:val="22"/>
          <w:lang w:val="es-MX" w:bidi="ar-SA"/>
        </w:rPr>
        <w:lastRenderedPageBreak/>
        <w:t>CAPITULO IV</w:t>
      </w:r>
    </w:p>
    <w:p w:rsidR="0076342D" w:rsidRPr="005971D5" w:rsidRDefault="0076342D" w:rsidP="0009144C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color w:val="000000"/>
          <w:sz w:val="22"/>
          <w:szCs w:val="22"/>
          <w:lang w:val="es-MX" w:bidi="ar-SA"/>
        </w:rPr>
      </w:pPr>
      <w:r w:rsidRPr="005971D5">
        <w:rPr>
          <w:rFonts w:cs="Arial"/>
          <w:b/>
          <w:bCs/>
          <w:color w:val="000000"/>
          <w:sz w:val="22"/>
          <w:szCs w:val="22"/>
          <w:lang w:val="es-MX" w:bidi="ar-SA"/>
        </w:rPr>
        <w:t>De los Servicios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sz w:val="22"/>
          <w:szCs w:val="22"/>
          <w:lang w:val="es-MX" w:bidi="ar-SA"/>
        </w:rPr>
      </w:pPr>
    </w:p>
    <w:p w:rsidR="0076342D" w:rsidRDefault="00440E94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>
        <w:rPr>
          <w:rFonts w:cs="Arial"/>
          <w:b/>
          <w:bCs/>
          <w:color w:val="000000"/>
          <w:lang w:val="es-MX" w:bidi="ar-SA"/>
        </w:rPr>
        <w:t>…</w:t>
      </w:r>
      <w:r w:rsidR="0076342D" w:rsidRPr="005971D5">
        <w:rPr>
          <w:rFonts w:cs="Arial"/>
          <w:b/>
          <w:bCs/>
          <w:color w:val="000000"/>
          <w:lang w:val="es-MX" w:bidi="ar-SA"/>
        </w:rPr>
        <w:t xml:space="preserve">Artículo 77.- </w:t>
      </w:r>
      <w:r w:rsidR="0076342D" w:rsidRPr="005971D5">
        <w:rPr>
          <w:rFonts w:cs="Arial"/>
          <w:color w:val="000000"/>
          <w:lang w:val="es-MX" w:bidi="ar-SA"/>
        </w:rPr>
        <w:t>Las instituciones de crédito prestarán los servicios previstos en el artículo 46 de esta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Ley, de conformidad con las disposiciones legales y administrativas aplicables, y con apego a las sanas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prácticas que propicien la seguridad de esas operaciones y procuren la adecuada atención a los usuarios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de tales servicios</w:t>
      </w:r>
      <w:r w:rsidR="00307F83">
        <w:rPr>
          <w:rFonts w:cs="Arial"/>
          <w:color w:val="000000"/>
          <w:lang w:val="es-MX" w:bidi="ar-SA"/>
        </w:rPr>
        <w:t>…</w:t>
      </w:r>
    </w:p>
    <w:p w:rsidR="00440E94" w:rsidRDefault="00440E94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Default="00440E94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>
        <w:rPr>
          <w:rFonts w:cs="Arial"/>
          <w:color w:val="000000"/>
          <w:lang w:val="es-MX" w:bidi="ar-SA"/>
        </w:rPr>
        <w:t>…</w:t>
      </w:r>
      <w:r w:rsidR="0076342D" w:rsidRPr="005971D5">
        <w:rPr>
          <w:rFonts w:cs="Arial"/>
          <w:b/>
          <w:bCs/>
          <w:color w:val="000000"/>
          <w:lang w:val="es-MX" w:bidi="ar-SA"/>
        </w:rPr>
        <w:t xml:space="preserve">Artículo 79.- </w:t>
      </w:r>
      <w:r w:rsidR="0076342D" w:rsidRPr="005971D5">
        <w:rPr>
          <w:rFonts w:cs="Arial"/>
          <w:color w:val="000000"/>
          <w:lang w:val="es-MX" w:bidi="ar-SA"/>
        </w:rPr>
        <w:t>En las operaciones de fideicomiso, mandato, comisión, administración o custodia, las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instituciones abrirán contabilidades especiales por cada contrato, debiendo registrar en las mismas y en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su propia contabilidad el dinero y demás bienes, valores o derechos que se les confíen, así como los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incrementos o disminuciones, por los productos o gastos respectivos. Invariablemente deberán coincidir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los saldos de las cuentas controladas de la contabilidad de la institución de crédito, con los de las</w:t>
      </w:r>
      <w:r w:rsidR="0009144C">
        <w:rPr>
          <w:rFonts w:cs="Arial"/>
          <w:color w:val="000000"/>
          <w:lang w:val="es-MX" w:bidi="ar-SA"/>
        </w:rPr>
        <w:t xml:space="preserve"> </w:t>
      </w:r>
      <w:r w:rsidR="0076342D" w:rsidRPr="005971D5">
        <w:rPr>
          <w:rFonts w:cs="Arial"/>
          <w:color w:val="000000"/>
          <w:lang w:val="es-MX" w:bidi="ar-SA"/>
        </w:rPr>
        <w:t>contabilidades especiales.</w:t>
      </w:r>
    </w:p>
    <w:p w:rsidR="0009144C" w:rsidRPr="005971D5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En ningún caso estos bienes estarán afectos a otras responsabilidades que las derivadas del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fideicomiso mismo, mandato, comisión o custodia, o las que contra ellos correspondan a terceros de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acuerdo con la Ley.</w:t>
      </w:r>
    </w:p>
    <w:p w:rsidR="0009144C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Artículo 80.- </w:t>
      </w:r>
      <w:r w:rsidRPr="005971D5">
        <w:rPr>
          <w:rFonts w:cs="Arial"/>
          <w:color w:val="000000"/>
          <w:lang w:val="es-MX" w:bidi="ar-SA"/>
        </w:rPr>
        <w:t>En las operaciones a que se refiere la fracción XV del artículo 46 de esta Ley, las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instituciones desempeñarán su cometido y ejercitarán sus facultades por medio de sus delegados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fiduciarios.</w:t>
      </w:r>
    </w:p>
    <w:p w:rsidR="0009144C" w:rsidRPr="005971D5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La institución responderá civilmente por los daños y perjuicios que se causen por la falta de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cumplimiento en las condiciones o términos señalados en el fideicomiso, mandato o comisión, o la ley.</w:t>
      </w:r>
    </w:p>
    <w:p w:rsidR="0009144C" w:rsidRPr="005971D5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En el acto constitutivo del fideicomiso o en sus reformas, se podrá prever la formación de un comité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técnico, dar las reglas para su funcionamiento y fijar sus facultades. Cuando la institución de crédito obre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ajustándose a los dictámenes o acuerdos de este comité, estará libre de toda responsabilidad.</w:t>
      </w:r>
    </w:p>
    <w:p w:rsidR="0009144C" w:rsidRPr="005971D5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Artículo 81.- </w:t>
      </w:r>
      <w:r w:rsidRPr="005971D5">
        <w:rPr>
          <w:rFonts w:cs="Arial"/>
          <w:color w:val="000000"/>
          <w:lang w:val="es-MX" w:bidi="ar-SA"/>
        </w:rPr>
        <w:t>Las operaciones con valores que realicen las instituciones de crédito en cumplimiento de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fideicomisos, mandatos, comisiones y contratos de administración, se realizarán en términos de las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disposiciones de esta Ley y de la Ley del Mercado de Valores, así como de conformidad con las reglas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generales que, en su caso, emita el Banco de México oyendo la opinión de la Comisión Nacional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Bancaria y de Valores, con el objeto de procurar el desarrollo ordenado del mercado de valores.</w:t>
      </w:r>
    </w:p>
    <w:p w:rsidR="0009144C" w:rsidRPr="005971D5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Las instituciones de crédito, con sujeción a las disposiciones de carácter general que expida el Banco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de México, podrán realizar operaciones de reporto y préstamo de valores por cuenta de terceros, sin la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intermediación de casas de bolsa. En dichas disposiciones se deberá establecer, entre otros aspectos,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sus características, las contrapartes autorizadas, los valores objeto de estas operaciones, los plazos, la forma de liquidación, así como las garantías que, en su caso, podrán otorgarse.</w:t>
      </w:r>
    </w:p>
    <w:p w:rsidR="0009144C" w:rsidRPr="005971D5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Artículo 81 Bis. </w:t>
      </w:r>
      <w:r w:rsidRPr="005971D5">
        <w:rPr>
          <w:rFonts w:cs="Arial"/>
          <w:color w:val="000000"/>
          <w:lang w:val="es-MX" w:bidi="ar-SA"/>
        </w:rPr>
        <w:t>Las instituciones de crédito deberán contar con lineamientos y políticas tendientes a identificar y conocer a sus clientes, así como para determinar sus objetivos de inversión respecto de las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operaciones con valores y operaciones derivadas que realicen en cumplimiento de fideicomisos,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mandatos, comisiones y contratos de administración. Asimismo, las instituciones de crédito deberán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proporcionar a su clientela la información necesaria para la toma de decisiones de inversión,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considerando los perfiles que definan al efecto ajustándose a las disposiciones de carácter general que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expida la Comisión Nacional Bancaria y de Valores.</w:t>
      </w:r>
    </w:p>
    <w:p w:rsidR="0009144C" w:rsidRPr="005971D5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Las instituciones de crédito al celebrar las operaciones a que se refiere el párrafo anterior con sus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clientes se ajustarán al perfil que corresponda a cada uno de ellos. Cuando se contraten operaciones y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servicios que no sean acordes con el perfil del cliente, deberá contarse con el consentimiento expreso del</w:t>
      </w:r>
      <w:r w:rsidR="0009144C">
        <w:rPr>
          <w:rFonts w:cs="Arial"/>
          <w:color w:val="000000"/>
          <w:lang w:val="es-MX" w:bidi="ar-SA"/>
        </w:rPr>
        <w:t xml:space="preserve">  </w:t>
      </w:r>
      <w:r w:rsidRPr="005971D5">
        <w:rPr>
          <w:rFonts w:cs="Arial"/>
          <w:color w:val="000000"/>
          <w:lang w:val="es-MX" w:bidi="ar-SA"/>
        </w:rPr>
        <w:t xml:space="preserve">mismo. Las </w:t>
      </w:r>
      <w:r w:rsidRPr="005971D5">
        <w:rPr>
          <w:rFonts w:cs="Arial"/>
          <w:color w:val="000000"/>
          <w:lang w:val="es-MX" w:bidi="ar-SA"/>
        </w:rPr>
        <w:lastRenderedPageBreak/>
        <w:t>instituciones de crédito, serán responsables de los daños y perjuicios ocasionados al cliente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por el incumplimiento a lo previsto en este párrafo.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Artículo 82.- </w:t>
      </w:r>
      <w:r w:rsidRPr="005971D5">
        <w:rPr>
          <w:rFonts w:cs="Arial"/>
          <w:color w:val="000000"/>
          <w:lang w:val="es-MX" w:bidi="ar-SA"/>
        </w:rPr>
        <w:t>El personal que las instituciones de crédito utilicen directa o exclusivamente para la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realización de fideicomisos, no formará parte del personal de la institución, sino que, según los casos se</w:t>
      </w:r>
      <w:r w:rsidR="0009144C">
        <w:rPr>
          <w:rFonts w:cs="Arial"/>
          <w:color w:val="000000"/>
          <w:lang w:val="es-MX" w:bidi="ar-SA"/>
        </w:rPr>
        <w:t xml:space="preserve">  </w:t>
      </w:r>
      <w:r w:rsidRPr="005971D5">
        <w:rPr>
          <w:rFonts w:cs="Arial"/>
          <w:color w:val="000000"/>
          <w:lang w:val="es-MX" w:bidi="ar-SA"/>
        </w:rPr>
        <w:t>considerará al servicio del patrimonio dado en fideicomiso. Sin embargo, cualesquier derechos que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asistan a esas personas conforme a la ley, los ejercitarán contra la institución de crédito, la que, en su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caso, para cumplir con las resoluciones que la autoridad competente dicte afectará, en la medida que sea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necesaria, los bienes materia del fideicomiso.</w:t>
      </w:r>
    </w:p>
    <w:p w:rsidR="0009144C" w:rsidRPr="005971D5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Artículo 83.- </w:t>
      </w:r>
      <w:r w:rsidRPr="005971D5">
        <w:rPr>
          <w:rFonts w:cs="Arial"/>
          <w:color w:val="000000"/>
          <w:lang w:val="es-MX" w:bidi="ar-SA"/>
        </w:rPr>
        <w:t>A falta de procedimiento convenido en forma expresa por las partes en el acto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constitutivo de los fideicomisos que tengan por objeto garantizar el cumplimiento de obligaciones, se</w:t>
      </w:r>
      <w:r w:rsidR="0009144C">
        <w:rPr>
          <w:rFonts w:cs="Arial"/>
          <w:color w:val="000000"/>
          <w:lang w:val="es-MX" w:bidi="ar-SA"/>
        </w:rPr>
        <w:t xml:space="preserve">  </w:t>
      </w:r>
      <w:r w:rsidRPr="005971D5">
        <w:rPr>
          <w:rFonts w:cs="Arial"/>
          <w:color w:val="000000"/>
          <w:lang w:val="es-MX" w:bidi="ar-SA"/>
        </w:rPr>
        <w:t>aplicarán los procedimientos establecidos en el Título Tercero Bis del Código de Comercio, a petición del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fiduciario.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Artículo 84.- </w:t>
      </w:r>
      <w:r w:rsidRPr="005971D5">
        <w:rPr>
          <w:rFonts w:cs="Arial"/>
          <w:color w:val="000000"/>
          <w:lang w:val="es-MX" w:bidi="ar-SA"/>
        </w:rPr>
        <w:t>Cuando la institución de crédito, al ser requerida, no rinda las cuentas de su gestión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dentro de un plazo de quince días hábiles, o cuando sea declarada por sentencia ejecutoriada, culpable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de las pérdidas o menoscabo que sufran los bienes dados en fideicomiso o responsable de esas pérdidas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o menoscabo por negligencia grave, procederá su remoción como fiduciaria.</w:t>
      </w:r>
    </w:p>
    <w:p w:rsidR="0009144C" w:rsidRPr="005971D5" w:rsidRDefault="0009144C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Las acciones para pedir cuentas, para exigir la responsabilidad de las instituciones de crédito y para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pedir la remoción corresponderá al o los fideicomisarios o a sus representantes legales, en cualquier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caso, en la medida de sus intereses, y a falta de aquéllos, al Ministerio Público, sin perjuicio de que el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fideicomitente pueda reservarse, en el acto constitutivo del fideicomiso o en las modificaciones del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mismo, el derecho para ejercitar esta acción.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En caso de renuncia o remoción, se estará a lo dispuesto en el párrafo final del artículo 385 de la Ley</w:t>
      </w:r>
      <w:r w:rsidR="0009144C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General de Títulos y Operaciones de Crédito</w:t>
      </w:r>
      <w:r w:rsidR="00307F83">
        <w:rPr>
          <w:rFonts w:cs="Arial"/>
          <w:color w:val="000000"/>
          <w:lang w:val="es-MX" w:bidi="ar-SA"/>
        </w:rPr>
        <w:t>…</w:t>
      </w:r>
    </w:p>
    <w:p w:rsidR="00307F83" w:rsidRDefault="00307F83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307F83" w:rsidRDefault="00307F83" w:rsidP="00307F83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85.- </w:t>
      </w:r>
      <w:r>
        <w:rPr>
          <w:lang w:val="es-MX" w:bidi="ar-SA"/>
        </w:rPr>
        <w:t xml:space="preserve">Cuando se trate de operaciones de fideicomiso que constituya el Gobierno Federal o que él mismo, para los efectos de este artículo, declare de interés público a través de la Secretaría de </w:t>
      </w:r>
    </w:p>
    <w:p w:rsidR="00307F83" w:rsidRDefault="00307F83" w:rsidP="00307F83">
      <w:pPr>
        <w:pStyle w:val="Sinespaciado"/>
        <w:jc w:val="both"/>
        <w:rPr>
          <w:lang w:val="es-MX" w:bidi="ar-SA"/>
        </w:rPr>
      </w:pPr>
    </w:p>
    <w:p w:rsidR="00307F83" w:rsidRDefault="00307F83" w:rsidP="00307F83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Hacienda y Crédito Público, no será aplicable el plazo que establece la fracción III del artículo 394 de la Ley General de Títulos y Operaciones de Crédito.</w:t>
      </w:r>
    </w:p>
    <w:p w:rsidR="00307F83" w:rsidRDefault="00307F83" w:rsidP="00307F83">
      <w:pPr>
        <w:pStyle w:val="Sinespaciado"/>
        <w:jc w:val="both"/>
        <w:rPr>
          <w:lang w:val="es-MX" w:bidi="ar-SA"/>
        </w:rPr>
      </w:pPr>
    </w:p>
    <w:p w:rsidR="00307F83" w:rsidRDefault="00307F83" w:rsidP="00307F83">
      <w:pPr>
        <w:pStyle w:val="Sinespaciado"/>
        <w:jc w:val="both"/>
        <w:rPr>
          <w:rFonts w:ascii="Times New Roman" w:hAnsi="Times New Roman" w:cs="Times New Roman"/>
          <w:i/>
          <w:iCs/>
          <w:color w:val="0000FF"/>
          <w:sz w:val="16"/>
          <w:szCs w:val="16"/>
          <w:lang w:val="es-MX" w:bidi="ar-SA"/>
        </w:rPr>
      </w:pPr>
    </w:p>
    <w:p w:rsidR="00307F83" w:rsidRDefault="00307F83" w:rsidP="00307F83">
      <w:pPr>
        <w:pStyle w:val="Sinespaciado"/>
        <w:jc w:val="both"/>
        <w:rPr>
          <w:lang w:val="es-MX" w:bidi="ar-SA"/>
        </w:rPr>
      </w:pPr>
      <w:r>
        <w:rPr>
          <w:b/>
          <w:bCs/>
          <w:lang w:val="es-MX" w:bidi="ar-SA"/>
        </w:rPr>
        <w:t xml:space="preserve">Artículo 85 Bis.- </w:t>
      </w:r>
      <w:r>
        <w:rPr>
          <w:lang w:val="es-MX" w:bidi="ar-SA"/>
        </w:rPr>
        <w:t>Para poder actuar como fiduciarias de los fideicomisos de garantía, las instituciones a que se refieren las fracciones II, III, IV y VI del artículo 395 de la Ley General de Títulos y Operaciones de Crédito deberán contar con el capital mínimo adicional que, para este efecto, determine la Secretaría  de Hacienda y Crédito Público, mediante disposiciones de carácter general, previa opinión de las Comisiones Nacionales Bancaria y de Valores y de Seguros y Fianzas, según corresponda en virtud de la institución de que se trate, así como con la autorización que otorgará discrecionalmente el Gobierno Federal, a través de dicha Secretaría.</w:t>
      </w:r>
    </w:p>
    <w:p w:rsidR="00307F83" w:rsidRPr="00440E94" w:rsidRDefault="00307F83" w:rsidP="00307F83">
      <w:pPr>
        <w:pStyle w:val="Sinespaciado"/>
        <w:rPr>
          <w:lang w:val="es-MX"/>
        </w:rPr>
      </w:pPr>
    </w:p>
    <w:p w:rsidR="00307F83" w:rsidRPr="00440E94" w:rsidRDefault="00307F83" w:rsidP="00307F83">
      <w:pPr>
        <w:pStyle w:val="Sinespaciado"/>
        <w:rPr>
          <w:lang w:val="es-MX"/>
        </w:rPr>
      </w:pPr>
    </w:p>
    <w:p w:rsidR="00307F83" w:rsidRPr="00440E94" w:rsidRDefault="00307F83" w:rsidP="00307F83">
      <w:pPr>
        <w:pStyle w:val="Sinespaciado"/>
        <w:rPr>
          <w:lang w:val="es-MX"/>
        </w:rPr>
      </w:pPr>
    </w:p>
    <w:p w:rsidR="00307F83" w:rsidRDefault="00307F83" w:rsidP="00307F83">
      <w:pPr>
        <w:pStyle w:val="Sinespaciado"/>
        <w:jc w:val="both"/>
        <w:rPr>
          <w:lang w:val="es-MX" w:bidi="ar-SA"/>
        </w:rPr>
      </w:pPr>
      <w:r>
        <w:rPr>
          <w:lang w:val="es-MX" w:bidi="ar-SA"/>
        </w:rPr>
        <w:t>Las sociedades a que se refieren las fracciones II, III, IV y VI del artículo 395 de la Ley General de Títulos y Operaciones de Crédito deberán administrar las operaciones de fideicomiso objeto de dicho artículo en los términos que, para las instituciones de crédito, señalan los artículos 79 y 80 de esta Ley…</w:t>
      </w:r>
    </w:p>
    <w:p w:rsidR="00307F83" w:rsidRPr="00307F83" w:rsidRDefault="00307F83" w:rsidP="00307F83">
      <w:pPr>
        <w:pStyle w:val="Sinespaciado"/>
        <w:jc w:val="both"/>
        <w:rPr>
          <w:lang w:val="es-MX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i/>
          <w:iCs/>
          <w:color w:val="0000FF"/>
          <w:sz w:val="16"/>
          <w:szCs w:val="16"/>
          <w:lang w:val="es-MX" w:bidi="ar-SA"/>
        </w:rPr>
      </w:pPr>
    </w:p>
    <w:p w:rsidR="0009144C" w:rsidRDefault="0009144C" w:rsidP="0009144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09144C" w:rsidRPr="0009144C" w:rsidRDefault="0076342D" w:rsidP="0009144C">
      <w:pPr>
        <w:autoSpaceDE w:val="0"/>
        <w:autoSpaceDN w:val="0"/>
        <w:adjustRightInd w:val="0"/>
        <w:spacing w:before="0" w:after="0" w:line="240" w:lineRule="auto"/>
        <w:jc w:val="center"/>
        <w:rPr>
          <w:b/>
          <w:lang w:val="es-MX" w:bidi="ar-SA"/>
        </w:rPr>
      </w:pPr>
      <w:r w:rsidRPr="0009144C">
        <w:rPr>
          <w:b/>
          <w:lang w:val="es-MX" w:bidi="ar-SA"/>
        </w:rPr>
        <w:t>TITULO QUINTO</w:t>
      </w:r>
    </w:p>
    <w:p w:rsidR="0009144C" w:rsidRPr="0009144C" w:rsidRDefault="0076342D" w:rsidP="0009144C">
      <w:pPr>
        <w:autoSpaceDE w:val="0"/>
        <w:autoSpaceDN w:val="0"/>
        <w:adjustRightInd w:val="0"/>
        <w:spacing w:before="0" w:after="0" w:line="240" w:lineRule="auto"/>
        <w:jc w:val="center"/>
        <w:rPr>
          <w:b/>
          <w:lang w:val="es-MX" w:bidi="ar-SA"/>
        </w:rPr>
      </w:pPr>
      <w:r w:rsidRPr="0009144C">
        <w:rPr>
          <w:b/>
          <w:lang w:val="es-MX" w:bidi="ar-SA"/>
        </w:rPr>
        <w:lastRenderedPageBreak/>
        <w:t>De las Prohibiciones, Sanciones Administrativas y Delitos</w:t>
      </w:r>
    </w:p>
    <w:p w:rsidR="0009144C" w:rsidRDefault="0076342D" w:rsidP="0009144C">
      <w:pPr>
        <w:autoSpaceDE w:val="0"/>
        <w:autoSpaceDN w:val="0"/>
        <w:adjustRightInd w:val="0"/>
        <w:spacing w:before="0" w:after="0" w:line="240" w:lineRule="auto"/>
        <w:jc w:val="center"/>
        <w:rPr>
          <w:b/>
          <w:lang w:val="es-MX" w:bidi="ar-SA"/>
        </w:rPr>
      </w:pPr>
      <w:r w:rsidRPr="0009144C">
        <w:rPr>
          <w:b/>
          <w:lang w:val="es-MX" w:bidi="ar-SA"/>
        </w:rPr>
        <w:t>CAPITULO I</w:t>
      </w:r>
    </w:p>
    <w:p w:rsidR="0076342D" w:rsidRPr="0009144C" w:rsidRDefault="0076342D" w:rsidP="0009144C">
      <w:pPr>
        <w:autoSpaceDE w:val="0"/>
        <w:autoSpaceDN w:val="0"/>
        <w:adjustRightInd w:val="0"/>
        <w:spacing w:before="0" w:after="0" w:line="240" w:lineRule="auto"/>
        <w:jc w:val="center"/>
        <w:rPr>
          <w:b/>
          <w:lang w:val="es-MX" w:bidi="ar-SA"/>
        </w:rPr>
      </w:pPr>
      <w:r w:rsidRPr="0009144C">
        <w:rPr>
          <w:b/>
          <w:lang w:val="es-MX" w:bidi="ar-SA"/>
        </w:rPr>
        <w:t>De las Prohibiciones</w:t>
      </w:r>
    </w:p>
    <w:p w:rsidR="0076342D" w:rsidRPr="005971D5" w:rsidRDefault="00307F83" w:rsidP="006D5E88">
      <w:pPr>
        <w:jc w:val="both"/>
        <w:rPr>
          <w:rFonts w:cs="Arial"/>
          <w:lang w:val="es-MX" w:bidi="ar-SA"/>
        </w:rPr>
      </w:pPr>
      <w:r>
        <w:rPr>
          <w:rFonts w:cs="Arial"/>
          <w:b/>
          <w:bCs/>
          <w:lang w:val="es-MX" w:bidi="ar-SA"/>
        </w:rPr>
        <w:t xml:space="preserve">… </w:t>
      </w:r>
      <w:r w:rsidR="0076342D" w:rsidRPr="005971D5">
        <w:rPr>
          <w:rFonts w:cs="Arial"/>
          <w:b/>
          <w:bCs/>
          <w:lang w:val="es-MX" w:bidi="ar-SA"/>
        </w:rPr>
        <w:t xml:space="preserve">Artículo 106.- </w:t>
      </w:r>
      <w:r w:rsidR="0076342D" w:rsidRPr="005971D5">
        <w:rPr>
          <w:rFonts w:cs="Arial"/>
          <w:lang w:val="es-MX" w:bidi="ar-SA"/>
        </w:rPr>
        <w:t>A las instituciones de crédito les estará prohibido:</w:t>
      </w:r>
      <w:r w:rsidR="00976BDF">
        <w:rPr>
          <w:rFonts w:cs="Arial"/>
          <w:lang w:val="es-MX" w:bidi="ar-SA"/>
        </w:rPr>
        <w:t>….</w:t>
      </w:r>
    </w:p>
    <w:p w:rsidR="0076342D" w:rsidRPr="005971D5" w:rsidRDefault="00976BDF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>
        <w:rPr>
          <w:rFonts w:cs="Arial"/>
          <w:b/>
          <w:bCs/>
          <w:lang w:val="es-MX" w:bidi="ar-SA"/>
        </w:rPr>
        <w:t>….</w:t>
      </w:r>
      <w:r w:rsidR="0076342D" w:rsidRPr="005971D5">
        <w:rPr>
          <w:rFonts w:cs="Arial"/>
          <w:b/>
          <w:bCs/>
          <w:lang w:val="es-MX" w:bidi="ar-SA"/>
        </w:rPr>
        <w:t xml:space="preserve">XIX. </w:t>
      </w:r>
      <w:r w:rsidR="0076342D" w:rsidRPr="005971D5">
        <w:rPr>
          <w:rFonts w:cs="Arial"/>
          <w:lang w:val="es-MX" w:bidi="ar-SA"/>
        </w:rPr>
        <w:t>En la realización de las operaciones a que se refiere la fracción XV del artículo 46 de esta Ley:</w:t>
      </w:r>
    </w:p>
    <w:p w:rsidR="0076342D" w:rsidRPr="002E6C76" w:rsidRDefault="0076342D" w:rsidP="006D5E88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2E6C76">
        <w:rPr>
          <w:rFonts w:cs="Arial"/>
          <w:lang w:val="es-MX" w:bidi="ar-SA"/>
        </w:rPr>
        <w:t>Se deroga.</w:t>
      </w: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     b) </w:t>
      </w:r>
      <w:r w:rsidRPr="005971D5">
        <w:rPr>
          <w:rFonts w:cs="Arial"/>
          <w:color w:val="000000"/>
          <w:lang w:val="es-MX" w:bidi="ar-SA"/>
        </w:rPr>
        <w:t>Responder a los fideicomitentes, mandantes o comitentes, del incumplimiento de los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deudores, por los créditos que se otorguen, o de los emisores, por los valores que se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adquieran, salvo que sea por su culpa, según lo dispuesto en la parte final del artículo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391 de la Ley General de Títulos y Operaciones de Crédito, o garantizar la percepción de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rendimientos por los fondos cuya inversión se les encomiende.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Si al término del fideicomiso, mandato o comisión constituidos para el otorgamiento de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créditos, éstos no hubieren sido liquidados por los deudores, la institución deberá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transferirlos al fideicomitente o fideicomisario, según sea el caso, o al mandante o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comitente, absteniéndose de cubrir su importe.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En los contratos de fideicomiso, mandato o comisión se insertará en forma notoria lo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dispuesto en este inciso y una declaración de la fiduciaria en el sentido de que hizo saber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inequívocamente su contenido a las personas de quienes haya recibido bienes o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derechos para su afectación fiduciaria;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b/>
          <w:bCs/>
          <w:lang w:val="es-MX" w:bidi="ar-SA"/>
        </w:rPr>
        <w:t xml:space="preserve">c) </w:t>
      </w:r>
      <w:r w:rsidRPr="005971D5">
        <w:rPr>
          <w:rFonts w:cs="Arial"/>
          <w:lang w:val="es-MX" w:bidi="ar-SA"/>
        </w:rPr>
        <w:t>Actuar como fiduciarias, mandatarias o comisionistas en fideicomisos, mandatos o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comisiones, respectivamente, a través de los cuales se capten, directa o indirectamente,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recursos del público, mediante cualquier acto causante de pasivo directo o contingente,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excepto tratándose de fideicomisos constituidos por el Gobierno Federal a través de la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Secretaría de Hacienda y Crédito Público, y de fideicomisos a través de los cuales se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emitan valores que se inscriban en el Registro Nacional de Valores de conformidad con lo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proofErr w:type="gramStart"/>
      <w:r w:rsidRPr="005971D5">
        <w:rPr>
          <w:rFonts w:cs="Arial"/>
          <w:lang w:val="es-MX" w:bidi="ar-SA"/>
        </w:rPr>
        <w:t>previsto</w:t>
      </w:r>
      <w:proofErr w:type="gramEnd"/>
      <w:r w:rsidRPr="005971D5">
        <w:rPr>
          <w:rFonts w:cs="Arial"/>
          <w:lang w:val="es-MX" w:bidi="ar-SA"/>
        </w:rPr>
        <w:t xml:space="preserve"> en la Ley del Mercado de Valores;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b/>
          <w:bCs/>
          <w:lang w:val="es-MX" w:bidi="ar-SA"/>
        </w:rPr>
        <w:t xml:space="preserve">d) </w:t>
      </w:r>
      <w:r w:rsidRPr="005971D5">
        <w:rPr>
          <w:rFonts w:cs="Arial"/>
          <w:lang w:val="es-MX" w:bidi="ar-SA"/>
        </w:rPr>
        <w:t>Desempeñar los fideicomisos, mandatos o comisiones a que se refiere el segundo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párrafo del artículo 88 de la Ley de Sociedades de Inversión;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</w:p>
    <w:p w:rsidR="0076342D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b/>
          <w:bCs/>
          <w:lang w:val="es-MX" w:bidi="ar-SA"/>
        </w:rPr>
        <w:t xml:space="preserve">e) </w:t>
      </w:r>
      <w:r w:rsidRPr="005971D5">
        <w:rPr>
          <w:rFonts w:cs="Arial"/>
          <w:lang w:val="es-MX" w:bidi="ar-SA"/>
        </w:rPr>
        <w:t>Actuar en fideicomisos, mandatos o comisiones a través de los cuales se evadan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limitaciones o prohibiciones contenidas en las leyes financieras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b/>
          <w:bCs/>
          <w:lang w:val="es-MX" w:bidi="ar-SA"/>
        </w:rPr>
        <w:t xml:space="preserve">f) </w:t>
      </w:r>
      <w:r w:rsidRPr="005971D5">
        <w:rPr>
          <w:rFonts w:cs="Arial"/>
          <w:lang w:val="es-MX" w:bidi="ar-SA"/>
        </w:rPr>
        <w:t>Utilizar fondos o valores de los fideicomisos, mandatos o comisiones destinados al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otorgamiento de créditos, en que la fiduciaria tenga la facultad discrecional, en el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otorgamiento de los mismos para realizar operaciones en virtud de las cuales resulten o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puedan resultar deudores sus delegados fiduciarios; los miembros del consejo de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administración o consejo directivo, según corresponda, tanto propietarios como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lang w:val="es-MX" w:bidi="ar-SA"/>
        </w:rPr>
        <w:t>suplentes, estén o no en funciones; los empleados y funcionarios de la institución; los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comisarios propietarios o suplentes, estén o no en funciones; los auditores externos de la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institución; los miembros del comité técnico del fideicomiso respectivo; los ascendientes o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descendientes en primer grado o cónyuges de las personas citadas, las sociedades en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cuyas asambleas tengan mayoría dichas personas o las mismas instituciones, asimismo aquellas personas que el Banco de México determine mediante disposiciones de carácter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general;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b/>
          <w:bCs/>
          <w:lang w:val="es-MX" w:bidi="ar-SA"/>
        </w:rPr>
        <w:t xml:space="preserve">g) </w:t>
      </w:r>
      <w:r w:rsidRPr="005971D5">
        <w:rPr>
          <w:rFonts w:cs="Arial"/>
          <w:lang w:val="es-MX" w:bidi="ar-SA"/>
        </w:rPr>
        <w:t>Administrar fincas rústicas, a menos que hayan recibido la administración para distribuir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el patrimonio entre herederos, legatarios, asociados o acreedores, o para pagar una</w:t>
      </w:r>
      <w:r w:rsidR="002E6C76">
        <w:rPr>
          <w:rFonts w:cs="Arial"/>
          <w:lang w:val="es-MX" w:bidi="ar-SA"/>
        </w:rPr>
        <w:t xml:space="preserve">  </w:t>
      </w:r>
      <w:r w:rsidRPr="005971D5">
        <w:rPr>
          <w:rFonts w:cs="Arial"/>
          <w:lang w:val="es-MX" w:bidi="ar-SA"/>
        </w:rPr>
        <w:t>obligación o para garantizar su cumplimiento con el valor de la misma finca o de sus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productos, y sin que en estos casos la administración exceda del plazo de dos años,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salvo los casos de fideicomisos a la producción o fideicomisos de garantía, y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b/>
          <w:bCs/>
          <w:lang w:val="es-MX" w:bidi="ar-SA"/>
        </w:rPr>
        <w:lastRenderedPageBreak/>
        <w:t xml:space="preserve">h) </w:t>
      </w:r>
      <w:r w:rsidRPr="005971D5">
        <w:rPr>
          <w:rFonts w:cs="Arial"/>
          <w:lang w:val="es-MX" w:bidi="ar-SA"/>
        </w:rPr>
        <w:t>Celebrar fideicomisos que administren sumas de dinero que aporten periódicamente</w:t>
      </w:r>
      <w:r w:rsidR="002E6C76">
        <w:rPr>
          <w:rFonts w:cs="Arial"/>
          <w:lang w:val="es-MX" w:bidi="ar-SA"/>
        </w:rPr>
        <w:t xml:space="preserve">  </w:t>
      </w:r>
      <w:r w:rsidRPr="005971D5">
        <w:rPr>
          <w:rFonts w:cs="Arial"/>
          <w:lang w:val="es-MX" w:bidi="ar-SA"/>
        </w:rPr>
        <w:t>grupos de consumidores integrados mediante sistemas de comercialización, destinados a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la adquisición de determinados bienes o servicios, de los previstos en la Ley Federal de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Protección al Consumidor.</w:t>
      </w: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</w:p>
    <w:p w:rsidR="0076342D" w:rsidRPr="005971D5" w:rsidRDefault="0076342D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lang w:val="es-MX" w:bidi="ar-SA"/>
        </w:rPr>
        <w:t>Cualquier pacto contrario a lo dispuesto en los incisos anteriores, será nulo</w:t>
      </w:r>
      <w:r w:rsidR="006706FD">
        <w:rPr>
          <w:rFonts w:cs="Arial"/>
          <w:lang w:val="es-MX" w:bidi="ar-SA"/>
        </w:rPr>
        <w:t>…</w:t>
      </w: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</w:p>
    <w:p w:rsidR="005971D5" w:rsidRPr="005971D5" w:rsidRDefault="005971D5" w:rsidP="002E6C76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sz w:val="22"/>
          <w:szCs w:val="22"/>
          <w:lang w:val="es-MX" w:bidi="ar-SA"/>
        </w:rPr>
      </w:pPr>
      <w:r w:rsidRPr="005971D5">
        <w:rPr>
          <w:rFonts w:cs="Arial"/>
          <w:b/>
          <w:bCs/>
          <w:sz w:val="22"/>
          <w:szCs w:val="22"/>
          <w:lang w:val="es-MX" w:bidi="ar-SA"/>
        </w:rPr>
        <w:t>Capítulo IV</w:t>
      </w:r>
    </w:p>
    <w:p w:rsidR="005971D5" w:rsidRPr="005971D5" w:rsidRDefault="005971D5" w:rsidP="002E6C76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sz w:val="22"/>
          <w:szCs w:val="22"/>
          <w:lang w:val="es-MX" w:bidi="ar-SA"/>
        </w:rPr>
      </w:pPr>
      <w:r w:rsidRPr="005971D5">
        <w:rPr>
          <w:rFonts w:cs="Arial"/>
          <w:b/>
          <w:bCs/>
          <w:sz w:val="22"/>
          <w:szCs w:val="22"/>
          <w:lang w:val="es-MX" w:bidi="ar-SA"/>
        </w:rPr>
        <w:t>De los Delitos</w:t>
      </w: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sz w:val="22"/>
          <w:szCs w:val="22"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lang w:val="es-MX" w:bidi="ar-SA"/>
        </w:rPr>
      </w:pPr>
    </w:p>
    <w:p w:rsidR="005971D5" w:rsidRPr="005971D5" w:rsidRDefault="00307F83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>
        <w:rPr>
          <w:rFonts w:cs="Arial"/>
          <w:b/>
          <w:bCs/>
          <w:lang w:val="es-MX" w:bidi="ar-SA"/>
        </w:rPr>
        <w:t>…</w:t>
      </w:r>
      <w:r w:rsidR="005971D5" w:rsidRPr="005971D5">
        <w:rPr>
          <w:rFonts w:cs="Arial"/>
          <w:b/>
          <w:bCs/>
          <w:lang w:val="es-MX" w:bidi="ar-SA"/>
        </w:rPr>
        <w:t xml:space="preserve">Artículo 115.- </w:t>
      </w:r>
      <w:r w:rsidR="005971D5" w:rsidRPr="005971D5">
        <w:rPr>
          <w:rFonts w:cs="Arial"/>
          <w:lang w:val="es-MX" w:bidi="ar-SA"/>
        </w:rPr>
        <w:t>En los casos previstos en los artículos 111 al 114 de esta Ley, se procederá</w:t>
      </w:r>
      <w:r w:rsidR="002E6C76">
        <w:rPr>
          <w:rFonts w:cs="Arial"/>
          <w:lang w:val="es-MX" w:bidi="ar-SA"/>
        </w:rPr>
        <w:t xml:space="preserve"> </w:t>
      </w:r>
      <w:r w:rsidR="005971D5" w:rsidRPr="005971D5">
        <w:rPr>
          <w:rFonts w:cs="Arial"/>
          <w:lang w:val="es-MX" w:bidi="ar-SA"/>
        </w:rPr>
        <w:t>indistintamente a petición de la Secretaría de Hacienda y Crédito Público, quien requerirá la opinión</w:t>
      </w:r>
      <w:r w:rsidR="002E6C76">
        <w:rPr>
          <w:rFonts w:cs="Arial"/>
          <w:lang w:val="es-MX" w:bidi="ar-SA"/>
        </w:rPr>
        <w:t xml:space="preserve"> </w:t>
      </w:r>
      <w:r w:rsidR="005971D5" w:rsidRPr="005971D5">
        <w:rPr>
          <w:rFonts w:cs="Arial"/>
          <w:lang w:val="es-MX" w:bidi="ar-SA"/>
        </w:rPr>
        <w:t>previa de la Comisión Nacional Bancaria y de Valores o bien, a petición de la institución de crédito de que se trate, o de quien tenga interés jurídico.</w:t>
      </w: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I. </w:t>
      </w:r>
      <w:r w:rsidRPr="005971D5">
        <w:rPr>
          <w:rFonts w:cs="Arial"/>
          <w:color w:val="000000"/>
          <w:lang w:val="es-MX" w:bidi="ar-SA"/>
        </w:rPr>
        <w:t>Establecer medidas y procedimientos para prevenir y detectar actos, omisiones u operaciones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que pudieran favorecer, prestar ayuda, auxilio o cooperación de cualquier especie para la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comisión de los delitos previstos en los artículos 139 ó 148 Bis del Código Penal Federal o que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pudieran ubicarse en los supuestos del artículo 400 Bis del mismo Código, y</w:t>
      </w: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II. </w:t>
      </w:r>
      <w:r w:rsidRPr="005971D5">
        <w:rPr>
          <w:rFonts w:cs="Arial"/>
          <w:color w:val="000000"/>
          <w:lang w:val="es-MX" w:bidi="ar-SA"/>
        </w:rPr>
        <w:t>Presentar a la Secretaría de Hacienda y Crédito Público, por conducto de la Comisión Nacional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Bancaria y de Valores, reportes sobre</w:t>
      </w:r>
      <w:r w:rsidR="002E6C76">
        <w:rPr>
          <w:rFonts w:cs="Arial"/>
          <w:color w:val="000000"/>
          <w:lang w:val="es-MX" w:bidi="ar-SA"/>
        </w:rPr>
        <w:t>…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>
        <w:rPr>
          <w:rFonts w:cs="Arial"/>
          <w:b/>
          <w:bCs/>
          <w:color w:val="000000"/>
          <w:lang w:val="es-MX" w:bidi="ar-SA"/>
        </w:rPr>
        <w:t xml:space="preserve">… </w:t>
      </w:r>
      <w:r w:rsidR="005971D5" w:rsidRPr="005971D5">
        <w:rPr>
          <w:rFonts w:cs="Arial"/>
          <w:b/>
          <w:bCs/>
          <w:color w:val="000000"/>
          <w:lang w:val="es-MX" w:bidi="ar-SA"/>
        </w:rPr>
        <w:t xml:space="preserve">Artículo 115 Bis.- </w:t>
      </w:r>
      <w:r w:rsidR="005971D5" w:rsidRPr="005971D5">
        <w:rPr>
          <w:rFonts w:cs="Arial"/>
          <w:color w:val="000000"/>
          <w:lang w:val="es-MX" w:bidi="ar-SA"/>
        </w:rPr>
        <w:t>Las instituciones de crédito podrán intercambiar información en términos de las</w:t>
      </w:r>
      <w:r>
        <w:rPr>
          <w:rFonts w:cs="Arial"/>
          <w:color w:val="000000"/>
          <w:lang w:val="es-MX" w:bidi="ar-SA"/>
        </w:rPr>
        <w:t xml:space="preserve"> </w:t>
      </w:r>
      <w:r w:rsidR="005971D5" w:rsidRPr="005971D5">
        <w:rPr>
          <w:rFonts w:cs="Arial"/>
          <w:color w:val="000000"/>
          <w:lang w:val="es-MX" w:bidi="ar-SA"/>
        </w:rPr>
        <w:t>disposiciones de carácter general a que se refiere el artículo 115 de esta Ley, con el fin de fortalecer las</w:t>
      </w:r>
      <w:r>
        <w:rPr>
          <w:rFonts w:cs="Arial"/>
          <w:color w:val="000000"/>
          <w:lang w:val="es-MX" w:bidi="ar-SA"/>
        </w:rPr>
        <w:t xml:space="preserve"> </w:t>
      </w:r>
      <w:r w:rsidR="005971D5" w:rsidRPr="005971D5">
        <w:rPr>
          <w:rFonts w:cs="Arial"/>
          <w:color w:val="000000"/>
          <w:lang w:val="es-MX" w:bidi="ar-SA"/>
        </w:rPr>
        <w:t>medidas para prevenir y detectar actos, omisiones u operaciones que pudieran favorecer, prestar ayuda,</w:t>
      </w:r>
      <w:r>
        <w:rPr>
          <w:rFonts w:cs="Arial"/>
          <w:color w:val="000000"/>
          <w:lang w:val="es-MX" w:bidi="ar-SA"/>
        </w:rPr>
        <w:t xml:space="preserve"> </w:t>
      </w:r>
      <w:r w:rsidR="005971D5" w:rsidRPr="005971D5">
        <w:rPr>
          <w:rFonts w:cs="Arial"/>
          <w:color w:val="000000"/>
          <w:lang w:val="es-MX" w:bidi="ar-SA"/>
        </w:rPr>
        <w:t>auxilio o cooperación de cualquier especie para la comisión del delito previsto en el artículo 139 del</w:t>
      </w:r>
      <w:r>
        <w:rPr>
          <w:rFonts w:cs="Arial"/>
          <w:color w:val="000000"/>
          <w:lang w:val="es-MX" w:bidi="ar-SA"/>
        </w:rPr>
        <w:t xml:space="preserve"> </w:t>
      </w:r>
      <w:r w:rsidR="005971D5" w:rsidRPr="005971D5">
        <w:rPr>
          <w:rFonts w:cs="Arial"/>
          <w:color w:val="000000"/>
          <w:lang w:val="es-MX" w:bidi="ar-SA"/>
        </w:rPr>
        <w:t>Código Penal Federal, o que pudieran ubicarse en los supuestos del artículo 400 Bis del mismo Código.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El cumplimiento de las obligaciones y el intercambio de información a que se refiere este artículo no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implicará trasgresión alguna a lo establecido en el artículo 117 de esta Ley.</w:t>
      </w: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Artículo 116.- </w:t>
      </w:r>
      <w:r w:rsidRPr="005971D5">
        <w:rPr>
          <w:rFonts w:cs="Arial"/>
          <w:color w:val="000000"/>
          <w:lang w:val="es-MX" w:bidi="ar-SA"/>
        </w:rPr>
        <w:t>Para la imposición de las sanciones y multas previstas en el presente Capítulo y en el II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de este Título, respectivamente, se considerará el salario mínimo general diario vigente en el Distrito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Federal, en el momento de cometerse la infracción o delito de que se trate.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Para determinar el monto de la operación, quebranto o perjuicio patrimonial, previstos en este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capítulo, se considerarán como días de salario, el salario mínimo general diario vigente en el Distrito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Federal, en el momento de cometerse el delito de que se trate.</w:t>
      </w: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Times New Roman"/>
          <w:i/>
          <w:iCs/>
          <w:color w:val="0000FF"/>
          <w:sz w:val="16"/>
          <w:szCs w:val="16"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Se deroga, último párrafo</w:t>
      </w: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b/>
          <w:bCs/>
          <w:lang w:val="es-MX" w:bidi="ar-SA"/>
        </w:rPr>
        <w:t xml:space="preserve">Artículo 116 bis.- </w:t>
      </w:r>
      <w:r w:rsidRPr="005971D5">
        <w:rPr>
          <w:rFonts w:cs="Arial"/>
          <w:lang w:val="es-MX" w:bidi="ar-SA"/>
        </w:rPr>
        <w:t>Los delitos previstos en esta Ley sólo admitirán comisión dolosa. La acción penal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en los casos previstos en esta Ley perseguibles por petición de la Secretaría de Hacienda y Crédito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Público, por la institución de crédito ofendida, o por quien tenga interés jurídico, prescribirá en tres años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contados a partir del día en que dicha Secretaría o Institución de crédito o quien tenga interés jurídico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tengan conocimiento del delito y del probable responsable y, si no tiene ese conocimiento, en cinco años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que se computarán conforme a las reglas establecidas en el artículo 102 del Código Penal Federal. Una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vez cubierto el requisito de procedibilidad, la prescripción seguirá corriendo según las</w:t>
      </w:r>
      <w:r w:rsidR="006706FD">
        <w:rPr>
          <w:rFonts w:cs="Arial"/>
          <w:lang w:val="es-MX" w:bidi="ar-SA"/>
        </w:rPr>
        <w:t xml:space="preserve"> reglas del Código Penal Federal</w:t>
      </w:r>
      <w:r w:rsidR="00976BDF">
        <w:rPr>
          <w:rFonts w:cs="Arial"/>
          <w:lang w:val="es-MX" w:bidi="ar-SA"/>
        </w:rPr>
        <w:t>….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</w:p>
    <w:p w:rsidR="00440E94" w:rsidRDefault="00440E94" w:rsidP="002E6C76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sz w:val="22"/>
          <w:szCs w:val="22"/>
          <w:lang w:val="es-MX" w:bidi="ar-SA"/>
        </w:rPr>
      </w:pPr>
    </w:p>
    <w:p w:rsidR="00440E94" w:rsidRDefault="00440E94" w:rsidP="002E6C76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sz w:val="22"/>
          <w:szCs w:val="22"/>
          <w:lang w:val="es-MX" w:bidi="ar-SA"/>
        </w:rPr>
      </w:pPr>
    </w:p>
    <w:p w:rsidR="005971D5" w:rsidRPr="005971D5" w:rsidRDefault="005971D5" w:rsidP="002E6C76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sz w:val="22"/>
          <w:szCs w:val="22"/>
          <w:lang w:val="es-MX" w:bidi="ar-SA"/>
        </w:rPr>
      </w:pPr>
      <w:r w:rsidRPr="005971D5">
        <w:rPr>
          <w:rFonts w:cs="Arial"/>
          <w:b/>
          <w:bCs/>
          <w:sz w:val="22"/>
          <w:szCs w:val="22"/>
          <w:lang w:val="es-MX" w:bidi="ar-SA"/>
        </w:rPr>
        <w:lastRenderedPageBreak/>
        <w:t>TÍTULO SEXTO</w:t>
      </w:r>
    </w:p>
    <w:p w:rsidR="005971D5" w:rsidRPr="005971D5" w:rsidRDefault="005971D5" w:rsidP="002E6C76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sz w:val="22"/>
          <w:szCs w:val="22"/>
          <w:lang w:val="es-MX" w:bidi="ar-SA"/>
        </w:rPr>
      </w:pPr>
      <w:r w:rsidRPr="005971D5">
        <w:rPr>
          <w:rFonts w:cs="Arial"/>
          <w:b/>
          <w:bCs/>
          <w:sz w:val="22"/>
          <w:szCs w:val="22"/>
          <w:lang w:val="es-MX" w:bidi="ar-SA"/>
        </w:rPr>
        <w:t>De la Protección de los Intereses del Público</w:t>
      </w:r>
    </w:p>
    <w:p w:rsidR="005971D5" w:rsidRPr="005971D5" w:rsidRDefault="005971D5" w:rsidP="002E6C76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sz w:val="22"/>
          <w:szCs w:val="22"/>
          <w:lang w:val="es-MX" w:bidi="ar-SA"/>
        </w:rPr>
      </w:pPr>
      <w:r w:rsidRPr="005971D5">
        <w:rPr>
          <w:rFonts w:cs="Arial"/>
          <w:b/>
          <w:bCs/>
          <w:sz w:val="22"/>
          <w:szCs w:val="22"/>
          <w:lang w:val="es-MX" w:bidi="ar-SA"/>
        </w:rPr>
        <w:t>CAPÍTULO I</w:t>
      </w:r>
    </w:p>
    <w:p w:rsidR="005971D5" w:rsidRDefault="005971D5" w:rsidP="002E6C76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sz w:val="22"/>
          <w:szCs w:val="22"/>
          <w:lang w:val="es-MX" w:bidi="ar-SA"/>
        </w:rPr>
      </w:pPr>
      <w:r w:rsidRPr="005971D5">
        <w:rPr>
          <w:rFonts w:cs="Arial"/>
          <w:b/>
          <w:bCs/>
          <w:sz w:val="22"/>
          <w:szCs w:val="22"/>
          <w:lang w:val="es-MX" w:bidi="ar-SA"/>
        </w:rPr>
        <w:t>Disposiciones Generales</w:t>
      </w:r>
    </w:p>
    <w:p w:rsidR="002E6C76" w:rsidRPr="005971D5" w:rsidRDefault="002E6C76" w:rsidP="002E6C76">
      <w:pPr>
        <w:autoSpaceDE w:val="0"/>
        <w:autoSpaceDN w:val="0"/>
        <w:adjustRightInd w:val="0"/>
        <w:spacing w:before="0" w:after="0" w:line="240" w:lineRule="auto"/>
        <w:jc w:val="center"/>
        <w:rPr>
          <w:rFonts w:cs="Arial"/>
          <w:b/>
          <w:bCs/>
          <w:sz w:val="22"/>
          <w:szCs w:val="22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b/>
          <w:bCs/>
          <w:lang w:val="es-MX" w:bidi="ar-SA"/>
        </w:rPr>
        <w:t xml:space="preserve">Artículo 117.- </w:t>
      </w:r>
      <w:r w:rsidRPr="005971D5">
        <w:rPr>
          <w:rFonts w:cs="Arial"/>
          <w:lang w:val="es-MX" w:bidi="ar-SA"/>
        </w:rPr>
        <w:t>La información y documentación relativa a las operaciones y servicios a que se refiere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el artículo 46 de la presente Ley, tendrá carácter confidencial, por lo que las instituciones de crédito, en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protección del derecho a la privacidad de sus clientes y usuarios que en este artículo se establece, en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ningún caso podrán dar noticias o información de los depósitos, operaciones o servicios, incluyendo los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previstos en la fracción XV del citado artículo 46, sino al depositante, deudor, titular, beneficiario,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fideicomitente, fideicomisario, comitente o mandante, a sus representantes legales o a quienes tengan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otorgado poder para disponer de la cuenta o para intervenir en la operación o servicio.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lang w:val="es-MX" w:bidi="ar-SA"/>
        </w:rPr>
        <w:t>Como excepción a lo dispuesto por el párrafo anterior, las instituciones de crédito estarán obligadas a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dar las noticias o información a que se refiere dicho párrafo, cuando lo solicite la autoridad judicial en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virtud de providencia dictada en juicio en el que el titular o, en su caso, el fideicomitente, fideicomisario,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fiduciario, comitente, comisionista, mandante o mandatario sea parte o acusado. Para los efectos del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presente párrafo, la autoridad judicial podrá formular su solicitud directamente a la institución de crédito, o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a través de la Comisión Nacional Bancaria y de Valores.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lang w:val="es-MX" w:bidi="ar-SA"/>
        </w:rPr>
        <w:t>Las instituciones de crédito también estarán exceptuadas de la prohibición prevista en el primer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párrafo de este artículo y, por tanto, obligadas a dar las noticias o información mencionadas, en los casos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en que sean solicitadas por las siguientes autoridades: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b/>
          <w:bCs/>
          <w:lang w:val="es-MX" w:bidi="ar-SA"/>
        </w:rPr>
        <w:t xml:space="preserve">I. </w:t>
      </w:r>
      <w:r w:rsidRPr="005971D5">
        <w:rPr>
          <w:rFonts w:cs="Arial"/>
          <w:lang w:val="es-MX" w:bidi="ar-SA"/>
        </w:rPr>
        <w:t>El Procurador General de la República o el servidor público en quien delegue facultades para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requerir información, para la comprobación del cuerpo del delito y de la probable responsabilidad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del indiciado;</w:t>
      </w:r>
    </w:p>
    <w:p w:rsidR="002E6C76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b/>
          <w:bCs/>
          <w:lang w:val="es-MX" w:bidi="ar-SA"/>
        </w:rPr>
        <w:t xml:space="preserve">II. </w:t>
      </w:r>
      <w:r w:rsidRPr="005971D5">
        <w:rPr>
          <w:rFonts w:cs="Arial"/>
          <w:lang w:val="es-MX" w:bidi="ar-SA"/>
        </w:rPr>
        <w:t>Los procuradores generales de justicia de los Estados de la Federación y del Distrito Federal o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subprocuradores, para la comprobación del cuerpo del delito y de la probable responsabilidad del</w:t>
      </w:r>
      <w:r w:rsidR="002E6C76">
        <w:rPr>
          <w:rFonts w:cs="Arial"/>
          <w:lang w:val="es-MX" w:bidi="ar-SA"/>
        </w:rPr>
        <w:t xml:space="preserve"> </w:t>
      </w:r>
      <w:r w:rsidRPr="005971D5">
        <w:rPr>
          <w:rFonts w:cs="Arial"/>
          <w:lang w:val="es-MX" w:bidi="ar-SA"/>
        </w:rPr>
        <w:t>indiciado;</w:t>
      </w: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III. </w:t>
      </w:r>
      <w:r w:rsidRPr="005971D5">
        <w:rPr>
          <w:rFonts w:cs="Arial"/>
          <w:color w:val="000000"/>
          <w:lang w:val="es-MX" w:bidi="ar-SA"/>
        </w:rPr>
        <w:t>El Procurador General de Justicia Militar, para la comprobación del cuerpo del delito y de la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probable responsabilidad del indiciado;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IV. </w:t>
      </w:r>
      <w:r w:rsidRPr="005971D5">
        <w:rPr>
          <w:rFonts w:cs="Arial"/>
          <w:color w:val="000000"/>
          <w:lang w:val="es-MX" w:bidi="ar-SA"/>
        </w:rPr>
        <w:t>Las autoridades hacendarias federales, para fines fiscales;</w:t>
      </w:r>
    </w:p>
    <w:p w:rsidR="002E6C76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color w:val="000000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V. </w:t>
      </w:r>
      <w:r w:rsidRPr="005971D5">
        <w:rPr>
          <w:rFonts w:cs="Arial"/>
          <w:color w:val="000000"/>
          <w:lang w:val="es-MX" w:bidi="ar-SA"/>
        </w:rPr>
        <w:t>La Secretaría de Hacienda y Crédito Público, para efectos de lo dispuesto por el artículo 115 de</w:t>
      </w:r>
      <w:r w:rsidR="002E6C76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la presente Ley;</w:t>
      </w:r>
    </w:p>
    <w:p w:rsidR="002E6C76" w:rsidRPr="005971D5" w:rsidRDefault="002E6C76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307F83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VI. </w:t>
      </w:r>
      <w:r w:rsidRPr="005971D5">
        <w:rPr>
          <w:rFonts w:cs="Arial"/>
          <w:color w:val="000000"/>
          <w:lang w:val="es-MX" w:bidi="ar-SA"/>
        </w:rPr>
        <w:t>El Tesorero de la Federación, cuando el acto de vigilancia lo amerite, para solicitar los estados de</w:t>
      </w:r>
      <w:r w:rsidR="002E6C76">
        <w:rPr>
          <w:rFonts w:cs="Arial"/>
          <w:color w:val="000000"/>
          <w:lang w:val="es-MX" w:bidi="ar-SA"/>
        </w:rPr>
        <w:t xml:space="preserve">  </w:t>
      </w:r>
      <w:r w:rsidRPr="005971D5">
        <w:rPr>
          <w:rFonts w:cs="Arial"/>
          <w:color w:val="000000"/>
          <w:lang w:val="es-MX" w:bidi="ar-SA"/>
        </w:rPr>
        <w:t xml:space="preserve">cuenta 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cualquier otra información relativa a las cuentas personales de los servidores públicos,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auxiliares y, en su caso, particulares relacionados con la investigación de que se trate;</w:t>
      </w:r>
      <w:r w:rsidR="00307F83">
        <w:rPr>
          <w:rFonts w:cs="Arial"/>
          <w:color w:val="000000"/>
          <w:lang w:val="es-MX" w:bidi="ar-SA"/>
        </w:rPr>
        <w:t xml:space="preserve"> </w:t>
      </w:r>
    </w:p>
    <w:p w:rsidR="00307F83" w:rsidRDefault="00307F83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VII. </w:t>
      </w:r>
      <w:r w:rsidRPr="005971D5">
        <w:rPr>
          <w:rFonts w:cs="Arial"/>
          <w:color w:val="000000"/>
          <w:lang w:val="es-MX" w:bidi="ar-SA"/>
        </w:rPr>
        <w:t>La Auditoría Superior de la Federación, en ejercicio de sus facultades de revisión y fiscalización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de la Cuenta Pública Federal y respecto a cuentas o contratos a través de los cuáles se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administren o ejerzan recursos públicos federales;</w:t>
      </w:r>
    </w:p>
    <w:p w:rsidR="00307F83" w:rsidRPr="005971D5" w:rsidRDefault="00307F83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t xml:space="preserve">VIII. </w:t>
      </w:r>
      <w:r w:rsidRPr="005971D5">
        <w:rPr>
          <w:rFonts w:cs="Arial"/>
          <w:color w:val="000000"/>
          <w:lang w:val="es-MX" w:bidi="ar-SA"/>
        </w:rPr>
        <w:t>El titular y los subsecretarios de la Secretaría de la Función Pública, en ejercicio de sus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facultades de investigación o auditoría para verificar la evolución del patrimonio de los servidores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públicos federales.</w:t>
      </w:r>
    </w:p>
    <w:p w:rsidR="00307F83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La solicitud de información y documentación a que se refiere el párrafo anterior, deberá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formularse en todo caso, dentro del procedimiento de verificación a que se refieren los artículos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41 y 42 de la Ley Federal de Responsabilidades Administrativas de los Servidores Públicos, y</w:t>
      </w:r>
      <w:r w:rsidR="00307F83">
        <w:rPr>
          <w:rFonts w:cs="Arial"/>
          <w:color w:val="000000"/>
          <w:lang w:val="es-MX" w:bidi="ar-SA"/>
        </w:rPr>
        <w:t xml:space="preserve"> </w:t>
      </w:r>
    </w:p>
    <w:p w:rsidR="00307F83" w:rsidRDefault="00307F83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b/>
          <w:bCs/>
          <w:color w:val="000000"/>
          <w:lang w:val="es-MX" w:bidi="ar-SA"/>
        </w:rPr>
        <w:lastRenderedPageBreak/>
        <w:t xml:space="preserve">IX. </w:t>
      </w:r>
      <w:r w:rsidRPr="005971D5">
        <w:rPr>
          <w:rFonts w:cs="Arial"/>
          <w:color w:val="000000"/>
          <w:lang w:val="es-MX" w:bidi="ar-SA"/>
        </w:rPr>
        <w:t>La Unidad de Fiscalización de los Recursos de los Partidos Políticos, órgano técnico del Consejo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General del Instituto Federal Electoral, para el ejercicio de sus atribuciones legales, en los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términos establecidos en el Código Federal de Instituciones y Procedimientos Electorales. Las</w:t>
      </w:r>
      <w:r w:rsidR="00307F83">
        <w:rPr>
          <w:rFonts w:cs="Arial"/>
          <w:color w:val="000000"/>
          <w:lang w:val="es-MX" w:bidi="ar-SA"/>
        </w:rPr>
        <w:t xml:space="preserve">  </w:t>
      </w:r>
      <w:r w:rsidRPr="005971D5">
        <w:rPr>
          <w:rFonts w:cs="Arial"/>
          <w:color w:val="000000"/>
          <w:lang w:val="es-MX" w:bidi="ar-SA"/>
        </w:rPr>
        <w:t>autoridades electorales de las entidades federativas solicitarán y obtendrán la información que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resulte necesaria también para el ejercicio de sus atribuciones legales a través de la unidad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primeramente mencionada.</w:t>
      </w: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Las autoridades mencionadas en las fracciones anteriores solicitarán las noticias o información a que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se refiere este artículo en el ejercicio de sus facultades y de conformidad con las disposiciones legales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que les resulten aplicables.</w:t>
      </w:r>
    </w:p>
    <w:p w:rsidR="00307F83" w:rsidRPr="005971D5" w:rsidRDefault="00307F83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Las solicitudes a que se refiere el tercer párrafo de este artículo deberán formularse con la debida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fundamentación y motivación, por conducto de la Comisión Nacional Bancaria y de Valores. Los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servidores públicos y las instituciones señalados en las fracciones I y VII, y la unidad de fiscalización a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que se refiere la fracción IX, podrán optar por solicitar a la autoridad judicial que expida la orden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correspondiente, a efecto de que la institución de crédito entregue la información requerida, siempre que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dichos servidores o autoridades especifiquen la denominación de la institución, el número de cuenta, el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nombre del cuentahabiente o usuario y demás datos y elementos que permitan su identificación plena, de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acuerdo con la operación de que se trate.</w:t>
      </w:r>
    </w:p>
    <w:p w:rsidR="00307F83" w:rsidRPr="005971D5" w:rsidRDefault="00307F83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Los empleados y funcionarios de las instituciones de crédito serán responsables, en los términos de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las disposiciones aplicables, por violación del secreto que se establece y las instituciones estarán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obligadas en caso de revelación indebida del secreto, a reparar los daños y perjuicios que se causen.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Lo anterior, en forma alguna afecta la obligación que tienen las instituciones de crédito de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proporcionar a la Comisión Nacional Bancaria y de Valores, toda clase de información y documentos que,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en ejercicio de sus funciones de inspección y vigilancia, les solicite en relación con las operaciones que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celebren y los servicios que presten, así como tampoco la obligación de proporcionar la información que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les sea solicitada por el Banco de México, el Instituto para la Protección al Ahorro Bancario y la Comisión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para la Protección y Defensa de los Usuarios de Servicios Financieros, en los términos de las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disposiciones legales aplicables.</w:t>
      </w:r>
    </w:p>
    <w:p w:rsidR="00307F83" w:rsidRPr="005971D5" w:rsidRDefault="00307F83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Se entenderá que no existe violación al secreto propio de las operaciones a que se refiere la fracción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XV del artículo 46 de esta Ley, en los casos en que la Auditoría Superior de la Federación, con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fundamento en la ley que norma su gestión, requiera la información a que se refiere el presente artículo.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Los documentos y los datos que proporcionen las instituciones de crédito como consecuencia de las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excepciones al primer párrafo del presente artículo, sólo podrán ser utilizados en las actuaciones que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correspondan en términos de ley y, respecto de aquéllos, se deberá observar la más estricta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confidencialidad, aún cuando el servidor público de que se trate se separe del servicio. Al servidor público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que indebidamente quebrante la reserva de las actuaciones, proporcione copia de las mismas o de los</w:t>
      </w:r>
      <w:r w:rsidR="00307F83">
        <w:rPr>
          <w:rFonts w:cs="Arial"/>
          <w:color w:val="000000"/>
          <w:lang w:val="es-MX" w:bidi="ar-SA"/>
        </w:rPr>
        <w:t xml:space="preserve">  </w:t>
      </w:r>
      <w:r w:rsidRPr="005971D5">
        <w:rPr>
          <w:rFonts w:cs="Arial"/>
          <w:color w:val="000000"/>
          <w:lang w:val="es-MX" w:bidi="ar-SA"/>
        </w:rPr>
        <w:t>documentos con ellas relacionados, o que de cualquier otra forma revele información en ellos contenida,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quedará sujeto a las responsabilidades administrativas, civiles o penales correspondientes.</w:t>
      </w: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Las instituciones de crédito deberán dar contestación a los requerimientos que la Comisión Nacional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Bancaria y de Valores les formule en virtud de las peticiones de las autoridades indicadas en este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artículo, dentro de los plazos que la misma determine. La propia Comisión podrá sancionar a las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instituciones de crédito que no cumplan con los plazos y condiciones que se establezca, de conformidad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con lo dispuesto por los artículos 108 al 110 de la presente Ley.</w:t>
      </w:r>
    </w:p>
    <w:p w:rsidR="00307F83" w:rsidRPr="005971D5" w:rsidRDefault="00307F83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color w:val="000000"/>
          <w:lang w:val="es-MX" w:bidi="ar-SA"/>
        </w:rPr>
      </w:pPr>
    </w:p>
    <w:p w:rsidR="005971D5" w:rsidRP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lang w:val="es-MX" w:bidi="ar-SA"/>
        </w:rPr>
      </w:pPr>
      <w:r w:rsidRPr="005971D5">
        <w:rPr>
          <w:rFonts w:cs="Arial"/>
          <w:color w:val="000000"/>
          <w:lang w:val="es-MX" w:bidi="ar-SA"/>
        </w:rPr>
        <w:t>La Comisión emitirá disposiciones de carácter general en las que establezca los requisitos que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deberán reunir las solicitudes o requerimientos de información que formulen las autoridades a que se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refieren las fracciones I a IX de este artículo, a efecto de que las instituciones de crédito requeridas estén</w:t>
      </w:r>
      <w:r w:rsidR="00307F83">
        <w:rPr>
          <w:rFonts w:cs="Arial"/>
          <w:color w:val="000000"/>
          <w:lang w:val="es-MX" w:bidi="ar-SA"/>
        </w:rPr>
        <w:t xml:space="preserve"> </w:t>
      </w:r>
      <w:r w:rsidRPr="005971D5">
        <w:rPr>
          <w:rFonts w:cs="Arial"/>
          <w:color w:val="000000"/>
          <w:lang w:val="es-MX" w:bidi="ar-SA"/>
        </w:rPr>
        <w:t>en aptitud de identificar, localizar y aportar las noticias o información solicitadas</w:t>
      </w:r>
      <w:r w:rsidR="00307F83">
        <w:rPr>
          <w:rFonts w:cs="Arial"/>
          <w:color w:val="000000"/>
          <w:lang w:val="es-MX" w:bidi="ar-SA"/>
        </w:rPr>
        <w:t>…</w:t>
      </w: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lang w:val="es-MX" w:bidi="ar-SA"/>
        </w:rPr>
      </w:pPr>
    </w:p>
    <w:p w:rsidR="005971D5" w:rsidRDefault="005971D5" w:rsidP="006D5E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lang w:val="es-MX" w:bidi="ar-SA"/>
        </w:rPr>
      </w:pPr>
    </w:p>
    <w:sectPr w:rsidR="005971D5" w:rsidSect="00400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75F8"/>
    <w:multiLevelType w:val="hybridMultilevel"/>
    <w:tmpl w:val="B51689A8"/>
    <w:lvl w:ilvl="0" w:tplc="EA80C6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BC2F5F"/>
    <w:rsid w:val="0009144C"/>
    <w:rsid w:val="001271F9"/>
    <w:rsid w:val="001B64A5"/>
    <w:rsid w:val="00207D8D"/>
    <w:rsid w:val="00247CBE"/>
    <w:rsid w:val="002525EF"/>
    <w:rsid w:val="002E6C76"/>
    <w:rsid w:val="00307F83"/>
    <w:rsid w:val="004000F9"/>
    <w:rsid w:val="00440E94"/>
    <w:rsid w:val="00562147"/>
    <w:rsid w:val="005971D5"/>
    <w:rsid w:val="006706FD"/>
    <w:rsid w:val="006D5E88"/>
    <w:rsid w:val="0076342D"/>
    <w:rsid w:val="007951A8"/>
    <w:rsid w:val="008D38DF"/>
    <w:rsid w:val="00957042"/>
    <w:rsid w:val="00976BDF"/>
    <w:rsid w:val="00B409CE"/>
    <w:rsid w:val="00BC2F5F"/>
    <w:rsid w:val="00BD3FA0"/>
    <w:rsid w:val="00CE1E73"/>
    <w:rsid w:val="00D75599"/>
    <w:rsid w:val="00F7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E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525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25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25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25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25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25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25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25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25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25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2525E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25E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25E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25E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25E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25E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25E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25E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525E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525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525E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525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525E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525EF"/>
    <w:rPr>
      <w:b/>
      <w:bCs/>
    </w:rPr>
  </w:style>
  <w:style w:type="character" w:styleId="nfasis">
    <w:name w:val="Emphasis"/>
    <w:uiPriority w:val="20"/>
    <w:qFormat/>
    <w:rsid w:val="002525E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2525E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525E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2525E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525E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525E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25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25E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525E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525E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525E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525E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525E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25EF"/>
    <w:pPr>
      <w:outlineLvl w:val="9"/>
    </w:pPr>
  </w:style>
  <w:style w:type="table" w:styleId="Tablaconcuadrcula">
    <w:name w:val="Table Grid"/>
    <w:basedOn w:val="Tablanormal"/>
    <w:uiPriority w:val="59"/>
    <w:rsid w:val="00BC2F5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A9E4-E11A-4D90-A90F-33246666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3653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HERNANDEZ GARDUNO</dc:creator>
  <cp:keywords/>
  <dc:description/>
  <cp:lastModifiedBy>glopez</cp:lastModifiedBy>
  <cp:revision>3</cp:revision>
  <dcterms:created xsi:type="dcterms:W3CDTF">2011-10-18T22:21:00Z</dcterms:created>
  <dcterms:modified xsi:type="dcterms:W3CDTF">2011-10-18T22:24:00Z</dcterms:modified>
</cp:coreProperties>
</file>