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9B" w:rsidRPr="00010D2F" w:rsidRDefault="00D1489B" w:rsidP="002B2EE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MX" w:bidi="ar-SA"/>
        </w:rPr>
      </w:pPr>
      <w:r w:rsidRPr="00010D2F">
        <w:rPr>
          <w:rFonts w:ascii="Arial" w:hAnsi="Arial" w:cs="Arial"/>
          <w:b/>
          <w:bCs/>
          <w:color w:val="000000" w:themeColor="text1"/>
          <w:sz w:val="24"/>
          <w:szCs w:val="24"/>
          <w:lang w:val="es-MX" w:bidi="ar-SA"/>
        </w:rPr>
        <w:t>LEY GENERAL DE TÍTULOS Y OPERACIONES DE CRÉDITO</w:t>
      </w:r>
    </w:p>
    <w:p w:rsidR="00F469F4" w:rsidRDefault="00F469F4" w:rsidP="00F469F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</w:pPr>
    </w:p>
    <w:p w:rsidR="00F469F4" w:rsidRDefault="00F469F4" w:rsidP="00F469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  <w:t>CAPITULO V</w:t>
      </w:r>
    </w:p>
    <w:p w:rsidR="00F469F4" w:rsidRDefault="00F469F4" w:rsidP="00F469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  <w:t>Sección Primera</w:t>
      </w:r>
    </w:p>
    <w:p w:rsidR="00F469F4" w:rsidRDefault="00F469F4" w:rsidP="00F469F4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MX" w:bidi="ar-SA"/>
        </w:rPr>
        <w:t>Del fideicomiso</w:t>
      </w:r>
    </w:p>
    <w:p w:rsidR="00F469F4" w:rsidRDefault="00F469F4" w:rsidP="00F469F4">
      <w:pPr>
        <w:pStyle w:val="Sinespaciado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…. Artículo 381.- </w:t>
      </w:r>
      <w:r>
        <w:rPr>
          <w:lang w:val="es-MX" w:bidi="ar-SA"/>
        </w:rPr>
        <w:t xml:space="preserve">En virtud del fideicomiso, el fideicomitente transmite a una institución fiduciaria la propiedad o la titularidad de uno o más bienes o derechos, según sea el caso, para ser destinados a fines lícitos y determinados, encomendando la realización de dichos fines a la propia institución fiduciaria. 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382.- </w:t>
      </w:r>
      <w:r>
        <w:rPr>
          <w:lang w:val="es-MX" w:bidi="ar-SA"/>
        </w:rPr>
        <w:t>Pueden ser fideicomisarios las personas que tengan la capacidad necesaria para recibir el provecho que el fideicomiso implica.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El fideicomisario podrá ser designado por el fideicomitente en el acto constitutivo del fideicomiso o en un acto posterior.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El fideicomiso será válido aunque se constituya sin señalar fideicomisario, siempre que su fin sea lícito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y determinado, y conste la aceptación del encargo por parte del fiduciario.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Es nulo el fideicomiso que se constituye a favor del fiduciario, salvo lo dispuesto en el párrafo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siguiente, y en las demás disposiciones legales aplicables.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La institución fiduciaria podrá ser fideicomisaria en los fideicomisos que tengan por fin servir como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instrumentos de pago de obligaciones incumplidas, en el caso de créditos otorgados por la propia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institución para la realización de actividades empresariales. En este supuesto, las partes deberán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convenir los términos y condiciones para dirimir posibles conflictos de intereses.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383.- </w:t>
      </w:r>
      <w:r>
        <w:rPr>
          <w:lang w:val="es-MX" w:bidi="ar-SA"/>
        </w:rPr>
        <w:t>El fideicomitente puede designar varios fideicomisarios para que reciban simultánea 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sucesivamente el provecho del fideicomiso, salvo el caso de la fracción II del artículo 394.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Cuando sean dos o más fideicomisarios y deba consultarse su voluntad, en cuanto no esté previsto en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el fideicomiso, las decisiones se tomarán por mayoría de votos computados por representaciones y no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por personas. En caso de empate, decidirá el juez de primera instancia del lugar del domicilio del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fiduciario.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384.- </w:t>
      </w:r>
      <w:r>
        <w:rPr>
          <w:lang w:val="es-MX" w:bidi="ar-SA"/>
        </w:rPr>
        <w:t>Sólo pueden ser fideicomitentes las personas con capacidad para transmitir la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propiedad o la titularidad de los bienes o derechos objeto del fideicomiso, según sea el caso, así como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las autoridades judiciales o administrativas competentes para ello.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385.- </w:t>
      </w:r>
      <w:r>
        <w:rPr>
          <w:lang w:val="es-MX" w:bidi="ar-SA"/>
        </w:rPr>
        <w:t>Sólo pueden ser instituciones fiduciarias las expresamente autorizadas para ello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conforme a la ley.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En el fideicomiso podrán intervenir varias instituciones fiduciarias para que conjunta o sucesivamente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desempeñen el cargo de fiduciario, estableciendo el orden y las condiciones en que hayan de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substituirse.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Salvo lo que se prevea en el fideicomiso, cuando por renuncia o remoción la institución fiduciaria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concluya el desempeño de su cargo, deberá designarse a otra institución fiduciaria que la substituya. Si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no fuere posible esta substitución, el fideicomiso se dará por extinguido.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386.- </w:t>
      </w:r>
      <w:r>
        <w:rPr>
          <w:lang w:val="es-MX" w:bidi="ar-SA"/>
        </w:rPr>
        <w:t>Pueden ser objeto del fideicomiso toda clase de bienes y derechos, salvo aquellos que,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conforme a la ley, sean estrictamente personales de su titular.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lastRenderedPageBreak/>
        <w:t>Los bienes que se den en fideicomiso se considerarán afectos al fin a que se destinan y, en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consecuencia, sólo podrán ejercitarse respecto a ellos los derechos y acciones que al mencionado fin se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refieran, salvo los que expresamente se reserve el fideicomitente, los que para él deriven del fideicomiso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mismo o los adquiridos legalmente respecto de tales bienes, con anterioridad a la constitución del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fideicomiso, por el fideicomisario o por terceros. La institución fiduciaria deberá registrar contablemente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dichos bienes o derechos y mantenerlos en forma separada de sus activos de libre disponibilidad.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El fideicomiso constituido en fraude de terceros, podrá en todo tiempo ser atacado de nulidad por los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interesados.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387.- </w:t>
      </w:r>
      <w:r>
        <w:rPr>
          <w:lang w:val="es-MX" w:bidi="ar-SA"/>
        </w:rPr>
        <w:t>La constitución del fideicomiso deberá constar siempre por escrito.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388.- </w:t>
      </w:r>
      <w:r>
        <w:rPr>
          <w:lang w:val="es-MX" w:bidi="ar-SA"/>
        </w:rPr>
        <w:t>El fideicomiso cuyo objeto recaiga en bienes inmuebles, deberá inscribirse en la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Sección de la Propiedad del Registro Público del lugar en que los bienes estén ubicados. El fideicomiso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surtirá efectos contra tercero, en el caso de este artículo, desde la fecha de inscripción en el Registro.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389.- </w:t>
      </w:r>
      <w:r>
        <w:rPr>
          <w:lang w:val="es-MX" w:bidi="ar-SA"/>
        </w:rPr>
        <w:t>El fideicomiso cuyo objeto recaiga en bienes muebles, surtirá efectos contra tercero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desde la fecha en que se cumplan los requisitos siguientes: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7563C9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I.- </w:t>
      </w:r>
      <w:r>
        <w:rPr>
          <w:lang w:val="es-MX" w:bidi="ar-SA"/>
        </w:rPr>
        <w:t>Si se tratare de un crédito no negociable o de un derecho personal, desde que el fideicomiso fuere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notificado al deudor;</w:t>
      </w:r>
      <w:r w:rsidR="007563C9">
        <w:rPr>
          <w:lang w:val="es-MX" w:bidi="ar-SA"/>
        </w:rPr>
        <w:t xml:space="preserve"> 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II.- </w:t>
      </w:r>
      <w:r>
        <w:rPr>
          <w:lang w:val="es-MX" w:bidi="ar-SA"/>
        </w:rPr>
        <w:t>Si se tratare de un título nominativo, desde que éste se endose a la institución fiduciaria y se haga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constar en los registros del emisor, en su caso;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III.- </w:t>
      </w:r>
      <w:r>
        <w:rPr>
          <w:lang w:val="es-MX" w:bidi="ar-SA"/>
        </w:rPr>
        <w:t>Si se tratare de cosa corpórea o de títulos al portador, desde que estén en poder de la institución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fiduciaria.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390.- </w:t>
      </w:r>
      <w:r>
        <w:rPr>
          <w:lang w:val="es-MX" w:bidi="ar-SA"/>
        </w:rPr>
        <w:t>El fideicomisario tendrá, además de los derechos que se le concedan por virtud del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acto constitutivo del fideicomiso, el de exigir su cumplimiento a la institución fiduciaria; el de atacar la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validez de los actos que ésta cometa en su perjuicio, de mala fe o en exceso de las facultades que por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virtud del acto constitutivo o de la ley le corresponda, y cuando ello sea procedente, el de reivindicar los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bienes que a consecuencia de esos actos hayan salido del patrimonio objeto del fideicomiso.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Cuando no exista fideicomisario determinado o cuando éste sea incapaz, los derechos a que se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refiere el párrafo anterior, corresponderán al que ejerza la patria potestad, al tutor o al Ministerio Público,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según el caso.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391.- </w:t>
      </w:r>
      <w:r>
        <w:rPr>
          <w:lang w:val="es-MX" w:bidi="ar-SA"/>
        </w:rPr>
        <w:t>La institución fiduciaria tendrá todos los derechos y acciones que se requieran para el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cumplimiento del fideicomiso, salvo las normas o limitaciones que se establezcan al efecto, al constituirse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el mismo; estará obligada a cumplir dicho fideicomiso conforme al acto constitutivo; no podrá excusarse 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renunciar su encargo sino por causas graves a juicio de un Juez de Primera Instancia del lugar de su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domicilio, y deberá obrar siempre como buen padre de familia, siendo responsable de las pérdidas 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menoscabos que los bienes sufran por su culpa.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392.- </w:t>
      </w:r>
      <w:r>
        <w:rPr>
          <w:lang w:val="es-MX" w:bidi="ar-SA"/>
        </w:rPr>
        <w:t>El fideicomiso se extingue: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I.- </w:t>
      </w:r>
      <w:r>
        <w:rPr>
          <w:lang w:val="es-MX" w:bidi="ar-SA"/>
        </w:rPr>
        <w:t>Por la realización del fin para el cual fue constituido;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II.- </w:t>
      </w:r>
      <w:r>
        <w:rPr>
          <w:lang w:val="es-MX" w:bidi="ar-SA"/>
        </w:rPr>
        <w:t>Por hacerse éste imposible;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lastRenderedPageBreak/>
        <w:t xml:space="preserve">III.- </w:t>
      </w:r>
      <w:r>
        <w:rPr>
          <w:lang w:val="es-MX" w:bidi="ar-SA"/>
        </w:rPr>
        <w:t>Por hacerse imposible el cumplimiento de la condición suspensiva de que dependa o no haberse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verificado dentro del término señalado al constituirse el fideicomiso o, en su defecto, dentro del plazo de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20 años siguientes a su constitución;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7563C9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IV.- </w:t>
      </w:r>
      <w:r>
        <w:rPr>
          <w:lang w:val="es-MX" w:bidi="ar-SA"/>
        </w:rPr>
        <w:t>Por haberse cumplido la condición resolutoria a que haya quedado sujeto;</w:t>
      </w:r>
      <w:r w:rsidR="007563C9">
        <w:rPr>
          <w:lang w:val="es-MX" w:bidi="ar-SA"/>
        </w:rPr>
        <w:t xml:space="preserve"> 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V. </w:t>
      </w:r>
      <w:r>
        <w:rPr>
          <w:lang w:val="es-MX" w:bidi="ar-SA"/>
        </w:rPr>
        <w:t>Por convenio escrito entre fideicomitente, fiduciario y fideicomisario;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VI. </w:t>
      </w:r>
      <w:r>
        <w:rPr>
          <w:lang w:val="es-MX" w:bidi="ar-SA"/>
        </w:rPr>
        <w:t>Por revocación hecha por el fideicomitente, cuando éste se haya reservado expresamente ese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derecho al constituir el fideicomiso;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7563C9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VII. </w:t>
      </w:r>
      <w:r>
        <w:rPr>
          <w:lang w:val="es-MX" w:bidi="ar-SA"/>
        </w:rPr>
        <w:t>En el caso del párrafo final del artículo 386, y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VIII. </w:t>
      </w:r>
      <w:r>
        <w:rPr>
          <w:lang w:val="es-MX" w:bidi="ar-SA"/>
        </w:rPr>
        <w:t>En el caso del artículo 392 Bis.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392 Bis.- </w:t>
      </w:r>
      <w:r>
        <w:rPr>
          <w:lang w:val="es-MX" w:bidi="ar-SA"/>
        </w:rPr>
        <w:t>En el supuesto de que a la institución fiduciaria no se le haya cubierto la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contraprestación debida, en los términos establecidos en el contrato respectivo, por un periodo igual 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superior a tres años, la institución fiduciaria podrá dar por terminado, sin responsabilidad, el fideicomiso.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En el supuesto a que se refiere el párrafo anterior, la institución fiduciaria deberá notificar al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fideicomitente y al fideicomisario su decisión de dar por terminado el fideicomiso por falta de pago de las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contraprestaciones debidas por su actuación como fiduciario y establecer un plazo de quince días hábiles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para que los mismos puedan cubrir los adeudos, según corresponda. En el caso de que, transcurrido el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citado plazo, no se hayan cubierto las contraprestaciones debidas, la institución fiduciaria transmitirá los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bienes o derechos en su poder en virtud del fideicomiso, al fideicomitente o al fideicomisario, según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corresponda. En el evento de que, después de esfuerzos razonables, la institución fiduciaria no pueda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encontrar o no tenga noticias del fideicomitente o fideicomisario para efectos de lo anterior y siempre que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haya transcurrido el plazo señalado sin haber recibido la contraprestación correspondiente, estará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facultada para abonar los referidos bienes, cuando éstos se traten de recursos líquidos entre las opciones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disponibles que maximicen la recuperación, a la cuenta global de la institución a que se refiere el artículo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61 de la Ley de Instituciones de Crédito, en cuyo caso los mencionados recursos se sujetarán a las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disposiciones aplicables a la citada cuenta global. Tratándose de bienes que no sean recursos líquidos, la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institución fiduciaria, sin responsabilidad alguna, estará facultada para enajenar los mismos y convertirlos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en recursos líquidos, para su posterior abono en la cuenta global en los términos señalados. Contra los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recursos líquidos que se obtengan, podrán deducirse los gastos relacionados con la recuperación.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Para efectos de este artículo se entenderá que se realizaron esfuerzos razonables por parte de la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institución fiduciaria cuando se observe el procedimiento de notificación previsto en el artículo 1070 del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Código de Comercio.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393.- </w:t>
      </w:r>
      <w:r>
        <w:rPr>
          <w:lang w:val="es-MX" w:bidi="ar-SA"/>
        </w:rPr>
        <w:t>Extinguido el fideicomiso, si no se pactó lo contrario, los bienes o derechos en poder de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la institución fiduciaria serán transmitidos al fideicomitente o al fideicomisario, según corresponda. En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caso de duda u oposición respecto de dicha transmisión, el juez de primera instancia competente en el</w:t>
      </w:r>
      <w:r w:rsidR="007563C9">
        <w:rPr>
          <w:lang w:val="es-MX" w:bidi="ar-SA"/>
        </w:rPr>
        <w:t xml:space="preserve">  </w:t>
      </w:r>
      <w:r>
        <w:rPr>
          <w:lang w:val="es-MX" w:bidi="ar-SA"/>
        </w:rPr>
        <w:t>lugar del domicilio de la institución fiduciaria, oyendo a las partes, resolverá lo conducente.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Para que la transmisión antes citada surta efectos tratándose de inmuebles o de derechos reales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impuestos sobre ellos, bastará que la institución fiduciaria así lo manifieste y que esta declaración se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inscriba en el Registro Público de la Propiedad en que aquél hubiere sido inscrito.</w:t>
      </w:r>
      <w:r w:rsidR="007563C9">
        <w:rPr>
          <w:lang w:val="es-MX" w:bidi="ar-SA"/>
        </w:rPr>
        <w:t xml:space="preserve"> 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Las instituciones fiduciarias indemnizarán a los fideicomitentes por los actos de mala fe o en exceso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de las facultades que les corresponda para la ejecución del fideicomiso, por virtud del acto constitutivo o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de la ley, que realicen en perjuicio de éstos.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394.- </w:t>
      </w:r>
      <w:r>
        <w:rPr>
          <w:lang w:val="es-MX" w:bidi="ar-SA"/>
        </w:rPr>
        <w:t>Quedan prohibidos: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lastRenderedPageBreak/>
        <w:t xml:space="preserve">I.- </w:t>
      </w:r>
      <w:r>
        <w:rPr>
          <w:lang w:val="es-MX" w:bidi="ar-SA"/>
        </w:rPr>
        <w:t>Los fideicomisos secretos;</w:t>
      </w:r>
    </w:p>
    <w:p w:rsidR="007563C9" w:rsidRDefault="007563C9" w:rsidP="00F469F4">
      <w:pPr>
        <w:pStyle w:val="Sinespaciado"/>
        <w:jc w:val="both"/>
        <w:rPr>
          <w:lang w:val="es-MX" w:bidi="ar-SA"/>
        </w:rPr>
      </w:pPr>
    </w:p>
    <w:p w:rsidR="008A0052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II.- </w:t>
      </w:r>
      <w:r>
        <w:rPr>
          <w:lang w:val="es-MX" w:bidi="ar-SA"/>
        </w:rPr>
        <w:t>Aquellos en los cuales el beneficio se conceda a diversas personas sucesivamente que deban</w:t>
      </w:r>
      <w:r w:rsidR="007563C9">
        <w:rPr>
          <w:lang w:val="es-MX" w:bidi="ar-SA"/>
        </w:rPr>
        <w:t xml:space="preserve"> </w:t>
      </w:r>
      <w:r>
        <w:rPr>
          <w:lang w:val="es-MX" w:bidi="ar-SA"/>
        </w:rPr>
        <w:t>substituirse por muerte de la anterior, salvo el caso de que la substitución se realice en favor de personas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que estén vivas o concebidas ya, a la muerte del fideicomitente; y</w:t>
      </w:r>
      <w:r w:rsidR="008A0052">
        <w:rPr>
          <w:lang w:val="es-MX" w:bidi="ar-SA"/>
        </w:rPr>
        <w:t xml:space="preserve"> 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III. </w:t>
      </w:r>
      <w:r>
        <w:rPr>
          <w:lang w:val="es-MX" w:bidi="ar-SA"/>
        </w:rPr>
        <w:t>Aquéllos cuya duración sea mayor de cincuenta años, cuando se designe como beneficiario a una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persona moral que no sea de derecho público o institución de beneficencia. Sin embargo, pueden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constituirse con duración mayor de cincuenta años cuando el fin del fideicomiso sea el mantenimiento de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museos de carácter científico o artístico que no tengan fines de lucro.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8A0052">
      <w:pPr>
        <w:pStyle w:val="Sinespaciado"/>
        <w:jc w:val="center"/>
        <w:rPr>
          <w:b/>
          <w:bCs/>
          <w:sz w:val="22"/>
          <w:szCs w:val="22"/>
          <w:lang w:val="es-MX" w:bidi="ar-SA"/>
        </w:rPr>
      </w:pPr>
      <w:r>
        <w:rPr>
          <w:b/>
          <w:bCs/>
          <w:sz w:val="22"/>
          <w:szCs w:val="22"/>
          <w:lang w:val="es-MX" w:bidi="ar-SA"/>
        </w:rPr>
        <w:t>Sección Segunda</w:t>
      </w:r>
    </w:p>
    <w:p w:rsidR="00F469F4" w:rsidRDefault="00F469F4" w:rsidP="008A0052">
      <w:pPr>
        <w:pStyle w:val="Sinespaciado"/>
        <w:jc w:val="center"/>
        <w:rPr>
          <w:b/>
          <w:bCs/>
          <w:sz w:val="22"/>
          <w:szCs w:val="22"/>
          <w:lang w:val="es-MX" w:bidi="ar-SA"/>
        </w:rPr>
      </w:pPr>
      <w:r>
        <w:rPr>
          <w:b/>
          <w:bCs/>
          <w:sz w:val="22"/>
          <w:szCs w:val="22"/>
          <w:lang w:val="es-MX" w:bidi="ar-SA"/>
        </w:rPr>
        <w:t>Del fideicomiso de garantía</w:t>
      </w:r>
    </w:p>
    <w:p w:rsidR="008A0052" w:rsidRDefault="008A0052" w:rsidP="008A0052">
      <w:pPr>
        <w:pStyle w:val="Sinespaciado"/>
        <w:jc w:val="center"/>
        <w:rPr>
          <w:b/>
          <w:bCs/>
          <w:sz w:val="22"/>
          <w:szCs w:val="22"/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395.- </w:t>
      </w:r>
      <w:r>
        <w:rPr>
          <w:lang w:val="es-MX" w:bidi="ar-SA"/>
        </w:rPr>
        <w:t>Sólo podrán actuar como fiduciarias de los fideicomisos que tengan como fin garantizar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al fideicomisario el cumplimiento de una obligación y su preferencia en el pago, previstos en esta Sección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Segunda, las instituciones y sociedades siguientes: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I. </w:t>
      </w:r>
      <w:r>
        <w:rPr>
          <w:lang w:val="es-MX" w:bidi="ar-SA"/>
        </w:rPr>
        <w:t>Instituciones de crédito;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 </w:t>
      </w:r>
      <w:r>
        <w:rPr>
          <w:lang w:val="es-MX" w:bidi="ar-SA"/>
        </w:rPr>
        <w:t>Instituciones de seguros;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III. </w:t>
      </w:r>
      <w:r>
        <w:rPr>
          <w:lang w:val="es-MX" w:bidi="ar-SA"/>
        </w:rPr>
        <w:t>Instituciones de fianzas;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IV. </w:t>
      </w:r>
      <w:r>
        <w:rPr>
          <w:lang w:val="es-MX" w:bidi="ar-SA"/>
        </w:rPr>
        <w:t>Casas de bolsa;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8A0052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V. </w:t>
      </w:r>
      <w:r>
        <w:rPr>
          <w:lang w:val="es-MX" w:bidi="ar-SA"/>
        </w:rPr>
        <w:t>Sociedades financieras de objeto múltiple a que se refiere el artículo 87-B de la Ley General de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Organizaciones y Actividades Auxiliares del Crédito;</w:t>
      </w:r>
      <w:r w:rsidR="008A0052">
        <w:rPr>
          <w:lang w:val="es-MX" w:bidi="ar-SA"/>
        </w:rPr>
        <w:t xml:space="preserve"> 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VI. </w:t>
      </w:r>
      <w:r>
        <w:rPr>
          <w:lang w:val="es-MX" w:bidi="ar-SA"/>
        </w:rPr>
        <w:t>Almacenes generales de depósito, y</w:t>
      </w:r>
    </w:p>
    <w:p w:rsidR="008A0052" w:rsidRDefault="008A0052" w:rsidP="00F469F4">
      <w:pPr>
        <w:pStyle w:val="Sinespaciado"/>
        <w:jc w:val="both"/>
        <w:rPr>
          <w:b/>
          <w:bCs/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VII. </w:t>
      </w:r>
      <w:r>
        <w:rPr>
          <w:lang w:val="es-MX" w:bidi="ar-SA"/>
        </w:rPr>
        <w:t>Uniones de crédito.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Las instituciones fiduciarias a que se refieren las fracciones II a IV y VI de este artículo, se sujetarán a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lo que dispone el artículo 85 Bis de la Ley de Instituciones de Crédito.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396.- </w:t>
      </w:r>
      <w:r>
        <w:rPr>
          <w:lang w:val="es-MX" w:bidi="ar-SA"/>
        </w:rPr>
        <w:t>Las instituciones y sociedades mencionadas en el artículo anterior, podrán reunir la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calidad de fiduciarias y fideicomisarias, tratándose de fideicomisos cuyo fin sea garantizar obligaciones a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su favor. En este supuesto, las partes deberán convenir los términos y condiciones para dirimir posibles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conflictos de intereses.</w:t>
      </w:r>
    </w:p>
    <w:p w:rsidR="008A0052" w:rsidRDefault="008A005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397.- </w:t>
      </w:r>
      <w:r>
        <w:rPr>
          <w:lang w:val="es-MX" w:bidi="ar-SA"/>
        </w:rPr>
        <w:t>Cuando así se señale, un mismo fideicomiso podrá ser utilizado para garantizar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simultánea o sucesivamente diferentes obligaciones que el fideicomitente contraiga, con un mismo o</w:t>
      </w:r>
      <w:r w:rsidR="008A0052">
        <w:rPr>
          <w:lang w:val="es-MX" w:bidi="ar-SA"/>
        </w:rPr>
        <w:t xml:space="preserve"> </w:t>
      </w:r>
      <w:r>
        <w:rPr>
          <w:lang w:val="es-MX" w:bidi="ar-SA"/>
        </w:rPr>
        <w:t>distintos acreedores, a cuyo efecto cada fideicomisario estará obligado a notificar a la institución fiduciaria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que la obligación a su favor ha quedado extinguida, en cuyo caso quedarán sin efectos los derechos que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respecto de él se derivan del fideicomiso. La notificación deberá entregarse mediante fedatario público a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más tardar a los cinco días hábiles siguientes a la fecha en la que se reciba el pago.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A partir del momento en que el fiduciario reciba la mencionada notificación, el fideicomitente podrá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designar un nuevo fideicomisario o manifestar a la institución fiduciaria que se ha realizado el fin para el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cual fue constituido el fideicomiso.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El fideicomisario que no entregue oportunamente al fiduciario la notificación a que se refiere este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artículo, resarcirá al fideicomitente los daños y perjuicios que con ello le ocasione.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lastRenderedPageBreak/>
        <w:t xml:space="preserve">Artículo 398.- </w:t>
      </w:r>
      <w:r>
        <w:rPr>
          <w:lang w:val="es-MX" w:bidi="ar-SA"/>
        </w:rPr>
        <w:t>Tratándose de fideicomisos de garantía sobre bienes muebles, las partes podrán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convenir que el o los fideicomitentes tendrán derecho a: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I. </w:t>
      </w:r>
      <w:r>
        <w:rPr>
          <w:lang w:val="es-MX" w:bidi="ar-SA"/>
        </w:rPr>
        <w:t>Hacer uso de los bienes fideicomitidos, los combinen o empleen en la fabricación de otros bienes,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siempre y cuando en estos dos últimos supuestos su valor no disminuya y los bienes producidos pasen a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formar parte del fideicomiso de garantía en cuestión;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 </w:t>
      </w:r>
      <w:r>
        <w:rPr>
          <w:lang w:val="es-MX" w:bidi="ar-SA"/>
        </w:rPr>
        <w:t>Percibir y utilizar los frutos y productos de los bienes fideicomitidos, y</w:t>
      </w:r>
      <w:r w:rsidR="00D41012">
        <w:rPr>
          <w:lang w:val="es-MX" w:bidi="ar-SA"/>
        </w:rPr>
        <w:t xml:space="preserve"> </w:t>
      </w:r>
      <w:r>
        <w:rPr>
          <w:b/>
          <w:bCs/>
          <w:lang w:val="es-MX" w:bidi="ar-SA"/>
        </w:rPr>
        <w:t xml:space="preserve">III. </w:t>
      </w:r>
      <w:r>
        <w:rPr>
          <w:lang w:val="es-MX" w:bidi="ar-SA"/>
        </w:rPr>
        <w:t>Instruir al fiduciario la enajenación de los bienes fideicomitidos, sin responsabilidad para éste,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siempre y cuando dicha enajenación sea acorde con el curso normal de las actividades del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fideicomitente. En estos casos cesarán los efectos de la garantía fiduciaria y los derechos de persecución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con relación a los adquirentes de buena fe, quedando afectos al fideicomiso los bienes o derechos que el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fiduciario reciba o tenga derecho a recibir en pago por la enajenación de los referidos bienes.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El derecho que tengan el o los fideicomitentes para instruir al fiduciario la enajenación de los bienes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muebles materia del fideicomiso conforme al párrafo anterior, quedará extinguido desde el momento en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que se inicie el procedimiento previsto en el artículo 403 de esta Ley, o bien cuando el fiduciario tenga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conocimiento del inicio de cualquiera de los procedimientos de ejecución previstos en el Libro Quinto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Título Tercero Bis del Código de Comercio.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399.- </w:t>
      </w:r>
      <w:r>
        <w:rPr>
          <w:lang w:val="es-MX" w:bidi="ar-SA"/>
        </w:rPr>
        <w:t>Para efectos de lo dispuesto en el artículo anterior, las partes deberán convenir desde</w:t>
      </w:r>
      <w:r w:rsidR="00D41012">
        <w:rPr>
          <w:lang w:val="es-MX" w:bidi="ar-SA"/>
        </w:rPr>
        <w:t xml:space="preserve"> </w:t>
      </w:r>
      <w:r>
        <w:rPr>
          <w:lang w:val="es-MX" w:bidi="ar-SA"/>
        </w:rPr>
        <w:t>la constitución del fideicomiso:</w:t>
      </w:r>
    </w:p>
    <w:p w:rsidR="00D41012" w:rsidRDefault="00D41012" w:rsidP="00F469F4">
      <w:pPr>
        <w:pStyle w:val="Sinespaciado"/>
        <w:jc w:val="both"/>
        <w:rPr>
          <w:lang w:val="es-MX" w:bidi="ar-SA"/>
        </w:rPr>
      </w:pPr>
    </w:p>
    <w:p w:rsidR="00D34AB9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I. </w:t>
      </w:r>
      <w:r>
        <w:rPr>
          <w:lang w:val="es-MX" w:bidi="ar-SA"/>
        </w:rPr>
        <w:t>En su caso, los lugares en que deberán encontrarse los bienes fideicomitidos;</w:t>
      </w:r>
    </w:p>
    <w:p w:rsidR="00D34AB9" w:rsidRDefault="00D34AB9" w:rsidP="00F469F4">
      <w:pPr>
        <w:pStyle w:val="Sinespaciado"/>
        <w:jc w:val="both"/>
        <w:rPr>
          <w:b/>
          <w:bCs/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 </w:t>
      </w:r>
      <w:r>
        <w:rPr>
          <w:lang w:val="es-MX" w:bidi="ar-SA"/>
        </w:rPr>
        <w:t>Las contraprestaciones mínimas que deberá recibir el fiduciario por la venta o transferencia de los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bienes muebles fideicomitidos;</w:t>
      </w:r>
    </w:p>
    <w:p w:rsidR="00B13D01" w:rsidRDefault="00B13D01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III. </w:t>
      </w:r>
      <w:r>
        <w:rPr>
          <w:lang w:val="es-MX" w:bidi="ar-SA"/>
        </w:rPr>
        <w:t>La persona o personas a las que el fiduciario, por instrucciones del fideicomitente, podrá vender o</w:t>
      </w:r>
      <w:r w:rsidR="00B13D01">
        <w:rPr>
          <w:lang w:val="es-MX" w:bidi="ar-SA"/>
        </w:rPr>
        <w:t xml:space="preserve"> </w:t>
      </w:r>
      <w:r>
        <w:rPr>
          <w:lang w:val="es-MX" w:bidi="ar-SA"/>
        </w:rPr>
        <w:t>transferir dichos bienes, pudiendo, en su caso, señalar las características o categorías que permitan</w:t>
      </w:r>
      <w:r w:rsidR="00B13D01">
        <w:rPr>
          <w:lang w:val="es-MX" w:bidi="ar-SA"/>
        </w:rPr>
        <w:t xml:space="preserve"> </w:t>
      </w:r>
      <w:r>
        <w:rPr>
          <w:lang w:val="es-MX" w:bidi="ar-SA"/>
        </w:rPr>
        <w:t>identificarlas, así como el destino que el fiduciario deberá dar al dinero, bienes o derechos que reciba en</w:t>
      </w:r>
      <w:r w:rsidR="00B13D01">
        <w:rPr>
          <w:lang w:val="es-MX" w:bidi="ar-SA"/>
        </w:rPr>
        <w:t xml:space="preserve"> </w:t>
      </w:r>
      <w:r>
        <w:rPr>
          <w:lang w:val="es-MX" w:bidi="ar-SA"/>
        </w:rPr>
        <w:t>pago;</w:t>
      </w:r>
    </w:p>
    <w:p w:rsidR="00B13D01" w:rsidRDefault="00B13D01" w:rsidP="00F469F4">
      <w:pPr>
        <w:pStyle w:val="Sinespaciado"/>
        <w:jc w:val="both"/>
        <w:rPr>
          <w:lang w:val="es-MX" w:bidi="ar-SA"/>
        </w:rPr>
      </w:pPr>
    </w:p>
    <w:p w:rsidR="00B13D01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IV. </w:t>
      </w:r>
      <w:r>
        <w:rPr>
          <w:lang w:val="es-MX" w:bidi="ar-SA"/>
        </w:rPr>
        <w:t>La información que el fideicomitente deberá entregar al fideicomisario sobre la transformación,</w:t>
      </w:r>
      <w:r w:rsidR="00B13D01">
        <w:rPr>
          <w:lang w:val="es-MX" w:bidi="ar-SA"/>
        </w:rPr>
        <w:t xml:space="preserve"> </w:t>
      </w:r>
      <w:r>
        <w:rPr>
          <w:lang w:val="es-MX" w:bidi="ar-SA"/>
        </w:rPr>
        <w:t>venta o transferencia de los mencionados bienes;</w:t>
      </w:r>
      <w:r w:rsidR="00B13D01">
        <w:rPr>
          <w:lang w:val="es-MX" w:bidi="ar-SA"/>
        </w:rPr>
        <w:t xml:space="preserve"> 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V. </w:t>
      </w:r>
      <w:r>
        <w:rPr>
          <w:lang w:val="es-MX" w:bidi="ar-SA"/>
        </w:rPr>
        <w:t>La forma de valuar los bienes fideicomitidos, y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VI. </w:t>
      </w:r>
      <w:r>
        <w:rPr>
          <w:lang w:val="es-MX" w:bidi="ar-SA"/>
        </w:rPr>
        <w:t>Los términos en los que se acordará la revisión del aforo pactado, en el caso de que el bien 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bienes dados en garantía incrementen su valor.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En caso de incumplimiento a los convenios celebrados con base en este artículo, el crédito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garantizado por el fideicomiso se tendrá por vencido anticipadamente.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400.- </w:t>
      </w:r>
      <w:r>
        <w:rPr>
          <w:lang w:val="es-MX" w:bidi="ar-SA"/>
        </w:rPr>
        <w:t>Las partes podrán convenir que la posesión de bienes en fideicomiso se tenga por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terceros o por el fideicomitente.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Cuando corresponda al fideicomitente o a un tercero la posesión material de los bienes fideicomitidos,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la tendrá en calidad de depósito y estará obligado a conservarlos como si fueran propios, a no utilizarlos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para objeto diverso de aquel que al efecto hubiere pactado y a responder de los daños que se causen a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terceros al hacer uso de ellos. Tal responsabilidad no podrá ser exigida al fiduciario.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lastRenderedPageBreak/>
        <w:t>En este caso, serán por cuenta del fideicomitente los gastos necesarios para la debida conservación,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reparación, administración y recolección de los bienes fideicomitidos.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Si los bienes fideicomitidos se pierden o se deterioran, el fideicomisario tiene derecho de exigir al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fideicomitente, cuando éste sea el deudor de la obligación garantizada, la transmisión en fideicomiso de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otros bienes o el pago de la deuda aun antes del plazo convenido.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401.- </w:t>
      </w:r>
      <w:r>
        <w:rPr>
          <w:lang w:val="es-MX" w:bidi="ar-SA"/>
        </w:rPr>
        <w:t>Los riesgos de pérdida, daño o deterioro del valor de los bienes fideicomitidos corren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por cuenta de la parte que esté en posesión de los mismos, debiendo permitir a las otras partes</w:t>
      </w:r>
      <w:r w:rsidR="002B2EEF">
        <w:rPr>
          <w:lang w:val="es-MX" w:bidi="ar-SA"/>
        </w:rPr>
        <w:t xml:space="preserve">  </w:t>
      </w:r>
      <w:r>
        <w:rPr>
          <w:lang w:val="es-MX" w:bidi="ar-SA"/>
        </w:rPr>
        <w:t>inspeccionarlos a efecto de verificar, según corresponda, su peso, cantidad y estado de conservación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general.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De convenirse así en el contrato, si el valor de mercado de los bienes fideicomitidos disminuye de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manera que no baste a cubrir el importe del principal y los accesorios de la deuda que garantizan, el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deudor podrá dar bienes adicionales para restituir la proporción original. En caso contrario, el crédito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podrá darse por vencido anticipadamente, teniendo el acreedor que notificar al deudor de ello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judicialmente o a través de fedatario.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402.- </w:t>
      </w:r>
      <w:r>
        <w:rPr>
          <w:lang w:val="es-MX" w:bidi="ar-SA"/>
        </w:rPr>
        <w:t>En caso de incumplimiento de la obligación garantizada, si el depositario se niega a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devolver al fiduciario los bienes depositados, su restitución se tramitará de conformidad con lo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establecido en el Libro Quinto Título Tercero Bis del Código de Comercio.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403.- </w:t>
      </w:r>
      <w:r>
        <w:rPr>
          <w:lang w:val="es-MX" w:bidi="ar-SA"/>
        </w:rPr>
        <w:t>En el fideicomiso de garantía, las partes podrán convenir la forma en que la institución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fiduciaria procederá a enajenar extrajudicialmente, a título oneroso, los bienes o derechos en fideicomiso,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siempre que, cuando menos, se pacte lo siguiente: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2B2EEF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I. </w:t>
      </w:r>
      <w:r>
        <w:rPr>
          <w:lang w:val="es-MX" w:bidi="ar-SA"/>
        </w:rPr>
        <w:t>Que la institución fiduciaria inicie el procedimiento de enajenación extrajudicial del o los bienes 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derechos en fideicomiso, cuando reciba del o los fideicomisarios comunicación por escrito en la que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soliciten la mencionada enajenación y precisen el incumplimiento de la o las obligaciones garantizadas;</w:t>
      </w:r>
      <w:r w:rsidR="002B2EEF">
        <w:rPr>
          <w:lang w:val="es-MX" w:bidi="ar-SA"/>
        </w:rPr>
        <w:t xml:space="preserve"> </w:t>
      </w:r>
    </w:p>
    <w:p w:rsidR="002B2EEF" w:rsidRDefault="002B2EEF" w:rsidP="00F469F4">
      <w:pPr>
        <w:pStyle w:val="Sinespaciado"/>
        <w:jc w:val="both"/>
        <w:rPr>
          <w:b/>
          <w:bCs/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II. </w:t>
      </w:r>
      <w:r>
        <w:rPr>
          <w:lang w:val="es-MX" w:bidi="ar-SA"/>
        </w:rPr>
        <w:t>Que la institución fiduciaria comunique por escrito al o los fideicomitentes en el domicilio señalado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en el fideicomiso o en acto posterior, la solicitud prevista en la fracción anterior, junto con una copia de la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misma, quienes únicamente podrán oponerse a la enajenación, si exhiben el importe del adeudo,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acreditan el cumplimiento de la o las obligaciones precisadas en la solicitud por el o los fideicomisarios de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conformidad con la fracción anterior, o presentan el documento que compruebe la prórroga del plazo o la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novación de la obligación;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2B2EEF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III. </w:t>
      </w:r>
      <w:r>
        <w:rPr>
          <w:lang w:val="es-MX" w:bidi="ar-SA"/>
        </w:rPr>
        <w:t>Que sólo en caso de que el o los fideicomitentes no acrediten, de conformidad con lo previsto en la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fracción anterior, el cumplimiento de la o las obligaciones garantizadas o, en su caso, su novación 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prórroga, la institución fiduciaria procederá a enajenar extrajudicialmente el o los bienes o derechos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fideicomitidos, en los términos y condiciones pactados en el fideicomiso, y</w:t>
      </w:r>
      <w:r w:rsidR="002B2EEF">
        <w:rPr>
          <w:lang w:val="es-MX" w:bidi="ar-SA"/>
        </w:rPr>
        <w:t xml:space="preserve"> 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IV. </w:t>
      </w:r>
      <w:r>
        <w:rPr>
          <w:lang w:val="es-MX" w:bidi="ar-SA"/>
        </w:rPr>
        <w:t>Los plazos para llevar a cabo los actos señalados en las fracciones anteriores.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El texto que contenga el convenio de enajenación extrajudicial a que se refiere este artículo deberá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incluirse en una sección especial del fideicomiso de garantía, la que contará con la firma del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fideicomitente, que será adicional a aquélla con que haya suscrito dicho fideicomiso.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A falta del convenio previsto en este artículo, se seguirán los procedimientos establecidos en el Libro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Quinto Título Tercero Bis del Código de Comercio para la realización de los siguientes actos: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2B2EEF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a) </w:t>
      </w:r>
      <w:r>
        <w:rPr>
          <w:lang w:val="es-MX" w:bidi="ar-SA"/>
        </w:rPr>
        <w:t>La enajenación de los bienes en fideicomiso que en su caso deba llevar a cabo el fiduciario, o</w:t>
      </w:r>
      <w:r w:rsidR="002B2EEF">
        <w:rPr>
          <w:lang w:val="es-MX" w:bidi="ar-SA"/>
        </w:rPr>
        <w:t xml:space="preserve"> </w:t>
      </w: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b) </w:t>
      </w:r>
      <w:r>
        <w:rPr>
          <w:lang w:val="es-MX" w:bidi="ar-SA"/>
        </w:rPr>
        <w:t>La tramitación del juicio que se promueva para oponerse a la ejecución del fideicomiso.</w:t>
      </w:r>
    </w:p>
    <w:p w:rsidR="002B2EEF" w:rsidRDefault="002B2EEF" w:rsidP="00F469F4">
      <w:pPr>
        <w:pStyle w:val="Sinespaciado"/>
        <w:jc w:val="both"/>
        <w:rPr>
          <w:b/>
          <w:bCs/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lastRenderedPageBreak/>
        <w:t xml:space="preserve">Artículo 404.- </w:t>
      </w:r>
      <w:r>
        <w:rPr>
          <w:lang w:val="es-MX" w:bidi="ar-SA"/>
        </w:rPr>
        <w:t>Cuando el fideicomiso de garantía se refiera a bienes muebles y su monto sea igual 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superior al equivalente en moneda nacional a doscientas cincuenta mil unidades de inversión, las partes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deberán ratificar sus firmas ante fedatario público.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405.- </w:t>
      </w:r>
      <w:r>
        <w:rPr>
          <w:lang w:val="es-MX" w:bidi="ar-SA"/>
        </w:rPr>
        <w:t>Las acciones de los acreedores garantizados con fideicomiso de garantía prescriben en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tres años contados desde la fecha en que se haya dado por vencida la obligación garantizada. En este</w:t>
      </w:r>
      <w:r w:rsidR="002B2EEF">
        <w:rPr>
          <w:lang w:val="es-MX" w:bidi="ar-SA"/>
        </w:rPr>
        <w:t xml:space="preserve">  </w:t>
      </w:r>
      <w:r>
        <w:rPr>
          <w:lang w:val="es-MX" w:bidi="ar-SA"/>
        </w:rPr>
        <w:t>caso se extinguirá el derecho a pedir su cumplimiento y se revertirá la propiedad de los bienes objeto de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la garantía al patrimonio del fideicomitente.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b/>
          <w:bCs/>
          <w:lang w:val="es-MX" w:bidi="ar-SA"/>
        </w:rPr>
        <w:t xml:space="preserve">Artículo 406.- </w:t>
      </w:r>
      <w:r>
        <w:rPr>
          <w:lang w:val="es-MX" w:bidi="ar-SA"/>
        </w:rPr>
        <w:t>Al que teniendo la posesión material de los bienes objeto de garantías otorgadas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mediante fideicomiso de garantía transmita, grave o afecte la propiedad o posesión de los mismos, en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términos distintos a los previstos en la ley, sustraiga sus componentes o los desgaste fuera de su uso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normal o por alguna razón disminuya intencionalmente el valor de los mismos, se le sancionará con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prisión hasta de un año y multa de cien veces el salario mínimo general diario vigente en el Distrito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Federal, cuando el monto de la garantía no exceda del equivalente a doscientas veces de dicho salario.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F469F4" w:rsidRDefault="00F469F4" w:rsidP="00F469F4">
      <w:pPr>
        <w:pStyle w:val="Sinespaciado"/>
        <w:jc w:val="both"/>
        <w:rPr>
          <w:lang w:val="es-MX" w:bidi="ar-SA"/>
        </w:rPr>
      </w:pPr>
      <w:r>
        <w:rPr>
          <w:lang w:val="es-MX" w:bidi="ar-SA"/>
        </w:rPr>
        <w:t>Si dicho monto excede de esta cantidad, pero no de diez mil, la prisión será de uno a seis años y la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multa de cien a ciento ochenta veces el salario mínimo general diario vigente en el Distrito Federal. Si el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monto es mayor de diez mil veces de dicho salario, la prisión será de seis a doce años y la multa de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ciento veinte veces el salario mínimo general diario vigente en el Distrito Federal.</w:t>
      </w:r>
      <w:r w:rsidR="002B2EEF">
        <w:rPr>
          <w:lang w:val="es-MX" w:bidi="ar-SA"/>
        </w:rPr>
        <w:t xml:space="preserve"> </w:t>
      </w:r>
    </w:p>
    <w:p w:rsidR="002B2EEF" w:rsidRDefault="002B2EEF" w:rsidP="00F469F4">
      <w:pPr>
        <w:pStyle w:val="Sinespaciado"/>
        <w:jc w:val="both"/>
        <w:rPr>
          <w:lang w:val="es-MX" w:bidi="ar-SA"/>
        </w:rPr>
      </w:pPr>
    </w:p>
    <w:p w:rsidR="00CD5805" w:rsidRDefault="00F469F4" w:rsidP="00F469F4">
      <w:pPr>
        <w:pStyle w:val="Sinespaciado"/>
        <w:jc w:val="both"/>
        <w:rPr>
          <w:b/>
          <w:bCs/>
          <w:lang w:val="es-MX" w:bidi="ar-SA"/>
        </w:rPr>
      </w:pPr>
      <w:r>
        <w:rPr>
          <w:b/>
          <w:bCs/>
          <w:lang w:val="es-MX" w:bidi="ar-SA"/>
        </w:rPr>
        <w:t xml:space="preserve">Artículo 407.- </w:t>
      </w:r>
      <w:r>
        <w:rPr>
          <w:lang w:val="es-MX" w:bidi="ar-SA"/>
        </w:rPr>
        <w:t>El fideicomiso de garantía se regirá por lo dispuesto en esta sección y, sólo en lo que</w:t>
      </w:r>
      <w:r w:rsidR="002B2EEF">
        <w:rPr>
          <w:lang w:val="es-MX" w:bidi="ar-SA"/>
        </w:rPr>
        <w:t xml:space="preserve"> </w:t>
      </w:r>
      <w:r>
        <w:rPr>
          <w:lang w:val="es-MX" w:bidi="ar-SA"/>
        </w:rPr>
        <w:t>no se oponga a ésta, en la sección primera anterior</w:t>
      </w:r>
      <w:r w:rsidR="002B2EEF">
        <w:rPr>
          <w:lang w:val="es-MX" w:bidi="ar-SA"/>
        </w:rPr>
        <w:t>….</w:t>
      </w:r>
    </w:p>
    <w:sectPr w:rsidR="00CD5805" w:rsidSect="0040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CD5805"/>
    <w:rsid w:val="00010D2F"/>
    <w:rsid w:val="000A22FF"/>
    <w:rsid w:val="000E43A8"/>
    <w:rsid w:val="002525EF"/>
    <w:rsid w:val="002B2EEF"/>
    <w:rsid w:val="00314A96"/>
    <w:rsid w:val="004000F9"/>
    <w:rsid w:val="00546870"/>
    <w:rsid w:val="007563C9"/>
    <w:rsid w:val="00884969"/>
    <w:rsid w:val="008A0052"/>
    <w:rsid w:val="00957042"/>
    <w:rsid w:val="00A130E0"/>
    <w:rsid w:val="00B13D01"/>
    <w:rsid w:val="00CD5805"/>
    <w:rsid w:val="00CE1E73"/>
    <w:rsid w:val="00D1489B"/>
    <w:rsid w:val="00D34AB9"/>
    <w:rsid w:val="00D41012"/>
    <w:rsid w:val="00D86328"/>
    <w:rsid w:val="00F4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E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525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5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5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25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25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25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25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25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25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25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525E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5E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25E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25E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25E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25E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25E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25E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525E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525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525E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525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525E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2525EF"/>
    <w:rPr>
      <w:b/>
      <w:bCs/>
    </w:rPr>
  </w:style>
  <w:style w:type="character" w:styleId="nfasis">
    <w:name w:val="Emphasis"/>
    <w:uiPriority w:val="20"/>
    <w:qFormat/>
    <w:rsid w:val="002525E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525E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525E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2525E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25E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525E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25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25E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2525E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2525E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2525E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2525E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2525E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25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3299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HERNANDEZ GARDUNO</dc:creator>
  <cp:keywords/>
  <dc:description/>
  <cp:lastModifiedBy>glopez</cp:lastModifiedBy>
  <cp:revision>2</cp:revision>
  <dcterms:created xsi:type="dcterms:W3CDTF">2011-10-18T22:22:00Z</dcterms:created>
  <dcterms:modified xsi:type="dcterms:W3CDTF">2011-10-18T22:22:00Z</dcterms:modified>
</cp:coreProperties>
</file>